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0"/>
      </w:pPr>
      <w:bookmarkStart w:name="SAFETY DATA SHEET - Crackshot" w:id="1"/>
      <w:bookmarkEnd w:id="1"/>
      <w:r>
        <w:rPr>
          <w:b w:val="0"/>
        </w:rPr>
      </w:r>
      <w:r>
        <w:rPr/>
        <w:t>SAFETY</w:t>
      </w:r>
      <w:r>
        <w:rPr>
          <w:spacing w:val="-10"/>
        </w:rPr>
        <w:t> </w:t>
      </w:r>
      <w:r>
        <w:rPr/>
        <w:t>DATA</w:t>
      </w:r>
      <w:r>
        <w:rPr>
          <w:spacing w:val="-10"/>
        </w:rPr>
        <w:t> </w:t>
      </w:r>
      <w:r>
        <w:rPr>
          <w:spacing w:val="-2"/>
        </w:rPr>
        <w:t>SHEET</w:t>
      </w:r>
    </w:p>
    <w:p>
      <w:pPr>
        <w:spacing w:before="49"/>
        <w:ind w:left="283" w:right="1" w:firstLine="0"/>
        <w:jc w:val="center"/>
        <w:rPr>
          <w:b/>
          <w:sz w:val="24"/>
        </w:rPr>
      </w:pPr>
      <w:r>
        <w:rPr>
          <w:b/>
          <w:spacing w:val="-2"/>
          <w:sz w:val="24"/>
        </w:rPr>
        <w:t>Crackshot</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rPr>
          <w:u w:val="none"/>
        </w:rPr>
      </w:pPr>
      <w:bookmarkStart w:name="Product identifier" w:id="4"/>
      <w:bookmarkEnd w:id="4"/>
      <w:r>
        <w:rPr>
          <w:b w:val="0"/>
          <w:u w:val="none"/>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pacing w:val="-2"/>
          <w:sz w:val="18"/>
        </w:rPr>
        <w:t>Crackshot</w:t>
      </w:r>
    </w:p>
    <w:p>
      <w:pPr>
        <w:pStyle w:val="Heading2"/>
        <w:tabs>
          <w:tab w:pos="2898" w:val="left" w:leader="none"/>
        </w:tabs>
        <w:spacing w:before="188"/>
        <w:rPr>
          <w:b w:val="0"/>
          <w:u w:val="none"/>
        </w:rPr>
      </w:pPr>
      <w:r>
        <w:rPr>
          <w:spacing w:val="-2"/>
          <w:u w:val="none"/>
        </w:rPr>
        <w:t>Internal</w:t>
      </w:r>
      <w:r>
        <w:rPr>
          <w:spacing w:val="3"/>
          <w:u w:val="none"/>
        </w:rPr>
        <w:t> </w:t>
      </w:r>
      <w:r>
        <w:rPr>
          <w:spacing w:val="-2"/>
          <w:u w:val="none"/>
        </w:rPr>
        <w:t>identification</w:t>
      </w:r>
      <w:r>
        <w:rPr>
          <w:u w:val="none"/>
        </w:rPr>
        <w:tab/>
      </w:r>
      <w:r>
        <w:rPr>
          <w:b w:val="0"/>
          <w:spacing w:val="-2"/>
          <w:u w:val="none"/>
        </w:rPr>
        <w:t>CSHOT</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Spray and wipe and spot cleaner</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No</w:t>
      </w:r>
      <w:r>
        <w:rPr>
          <w:spacing w:val="-4"/>
          <w:sz w:val="18"/>
        </w:rPr>
        <w:t> </w:t>
      </w:r>
      <w:r>
        <w:rPr>
          <w:sz w:val="18"/>
        </w:rPr>
        <w:t>specific</w:t>
      </w:r>
      <w:r>
        <w:rPr>
          <w:spacing w:val="-4"/>
          <w:sz w:val="18"/>
        </w:rPr>
        <w:t> </w:t>
      </w:r>
      <w:r>
        <w:rPr>
          <w:sz w:val="18"/>
        </w:rPr>
        <w:t>uses</w:t>
      </w:r>
      <w:r>
        <w:rPr>
          <w:spacing w:val="-3"/>
          <w:sz w:val="18"/>
        </w:rPr>
        <w:t> </w:t>
      </w:r>
      <w:r>
        <w:rPr>
          <w:sz w:val="18"/>
        </w:rPr>
        <w:t>advised</w:t>
      </w:r>
      <w:r>
        <w:rPr>
          <w:spacing w:val="-4"/>
          <w:sz w:val="18"/>
        </w:rPr>
        <w:t> </w:t>
      </w:r>
      <w:r>
        <w:rPr>
          <w:sz w:val="18"/>
        </w:rPr>
        <w:t>against</w:t>
      </w:r>
      <w:r>
        <w:rPr>
          <w:spacing w:val="-4"/>
          <w:sz w:val="18"/>
        </w:rPr>
        <w:t> </w:t>
      </w:r>
      <w:r>
        <w:rPr>
          <w:sz w:val="18"/>
        </w:rPr>
        <w:t>are</w:t>
      </w:r>
      <w:r>
        <w:rPr>
          <w:spacing w:val="-4"/>
          <w:sz w:val="18"/>
        </w:rPr>
        <w:t> </w:t>
      </w:r>
      <w:r>
        <w:rPr>
          <w:spacing w:val="-2"/>
          <w:sz w:val="18"/>
        </w:rPr>
        <w:t>identified.</w:t>
      </w:r>
    </w:p>
    <w:p>
      <w:pPr>
        <w:pStyle w:val="BodyText"/>
        <w:spacing w:before="4"/>
      </w:pPr>
    </w:p>
    <w:p>
      <w:pPr>
        <w:pStyle w:val="Heading2"/>
        <w:rPr>
          <w:u w:val="none"/>
        </w:rPr>
      </w:pPr>
      <w:bookmarkStart w:name="Details of the supplier of the safety da" w:id="6"/>
      <w:bookmarkEnd w:id="6"/>
      <w:r>
        <w:rPr>
          <w:b w:val="0"/>
          <w:u w:val="none"/>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rPr>
          <w:u w:val="none"/>
        </w:rPr>
      </w:pPr>
      <w:bookmarkStart w:name="Emergency telephone number" w:id="7"/>
      <w:bookmarkEnd w:id="7"/>
      <w:r>
        <w:rPr>
          <w:b w:val="0"/>
          <w:u w:val="none"/>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11"/>
          <w:sz w:val="18"/>
        </w:rPr>
        <w:t> </w:t>
      </w:r>
      <w:r>
        <w:rPr>
          <w:sz w:val="18"/>
        </w:rPr>
        <w:t>Information</w:t>
      </w:r>
      <w:r>
        <w:rPr>
          <w:spacing w:val="-11"/>
          <w:sz w:val="18"/>
        </w:rPr>
        <w:t> </w:t>
      </w:r>
      <w:r>
        <w:rPr>
          <w:spacing w:val="-2"/>
          <w:sz w:val="18"/>
        </w:rPr>
        <w:t>131126</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u w:val="none"/>
        </w:rPr>
      </w:pPr>
      <w:bookmarkStart w:name="Classification of the substance or mixtu" w:id="10"/>
      <w:bookmarkEnd w:id="10"/>
      <w:r>
        <w:rPr>
          <w:b w:val="0"/>
          <w:u w:val="none"/>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rPr>
          <w:u w:val="none"/>
        </w:rPr>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u w:val="none"/>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spacing w:val="-2"/>
        </w:rPr>
        <w:t>Crackshot</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rPr>
          <w:u w:val="none"/>
        </w:rPr>
      </w:pPr>
      <w:bookmarkStart w:name="Other hazards" w:id="12"/>
      <w:bookmarkEnd w:id="12"/>
      <w:r>
        <w:rPr>
          <w:b w:val="0"/>
          <w:u w:val="none"/>
        </w:rPr>
      </w:r>
      <w:r>
        <w:rPr>
          <w:u w:val="single"/>
        </w:rPr>
        <w:t>Other</w:t>
      </w:r>
      <w:r>
        <w:rPr>
          <w:spacing w:val="-4"/>
          <w:u w:val="single"/>
        </w:rPr>
        <w:t> </w:t>
      </w:r>
      <w:r>
        <w:rPr>
          <w:spacing w:val="-2"/>
          <w:u w:val="single"/>
        </w:rPr>
        <w:t>hazards</w:t>
      </w:r>
    </w:p>
    <w:p>
      <w:pPr>
        <w:pStyle w:val="BodyText"/>
        <w:spacing w:line="297" w:lineRule="auto" w:before="149"/>
        <w:ind w:left="374" w:right="154"/>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10"/>
        <w:rPr>
          <w:sz w:val="9"/>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29"/>
        <w:gridCol w:w="3070"/>
      </w:tblGrid>
      <w:tr>
        <w:trPr>
          <w:trHeight w:val="290" w:hRule="atLeast"/>
        </w:trPr>
        <w:tc>
          <w:tcPr>
            <w:tcW w:w="7029" w:type="dxa"/>
            <w:tcBorders>
              <w:right w:val="nil"/>
            </w:tcBorders>
            <w:shd w:val="clear" w:color="auto" w:fill="DCDCDC"/>
          </w:tcPr>
          <w:p>
            <w:pPr>
              <w:pStyle w:val="TableParagraph"/>
              <w:spacing w:before="49"/>
              <w:ind w:left="40"/>
              <w:rPr>
                <w:b/>
                <w:sz w:val="18"/>
              </w:rPr>
            </w:pPr>
            <w:bookmarkStart w:name="SECTION 3: Composition and information o" w:id="13"/>
            <w:bookmarkEnd w:id="13"/>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3070" w:type="dxa"/>
            <w:tcBorders>
              <w:left w:val="nil"/>
            </w:tcBorders>
            <w:shd w:val="clear" w:color="auto" w:fill="DCDCDC"/>
          </w:tcPr>
          <w:p>
            <w:pPr>
              <w:pStyle w:val="TableParagraph"/>
              <w:rPr>
                <w:rFonts w:ascii="Times New Roman"/>
                <w:sz w:val="16"/>
              </w:rPr>
            </w:pPr>
          </w:p>
        </w:tc>
      </w:tr>
      <w:tr>
        <w:trPr>
          <w:trHeight w:val="359" w:hRule="atLeast"/>
        </w:trPr>
        <w:tc>
          <w:tcPr>
            <w:tcW w:w="7029" w:type="dxa"/>
            <w:tcBorders>
              <w:left w:val="nil"/>
              <w:bottom w:val="single" w:sz="6" w:space="0" w:color="000000"/>
              <w:right w:val="nil"/>
            </w:tcBorders>
          </w:tcPr>
          <w:p>
            <w:pPr>
              <w:pStyle w:val="TableParagraph"/>
              <w:spacing w:line="198" w:lineRule="exact" w:before="141"/>
              <w:ind w:left="45"/>
              <w:rPr>
                <w:b/>
                <w:sz w:val="18"/>
              </w:rPr>
            </w:pPr>
            <w:bookmarkStart w:name="Mixtures" w:id="14"/>
            <w:bookmarkEnd w:id="14"/>
            <w:r>
              <w:rPr/>
            </w:r>
            <w:r>
              <w:rPr>
                <w:b/>
                <w:spacing w:val="-2"/>
                <w:sz w:val="18"/>
              </w:rPr>
              <w:t>Mixtures</w:t>
            </w:r>
          </w:p>
        </w:tc>
        <w:tc>
          <w:tcPr>
            <w:tcW w:w="3070" w:type="dxa"/>
            <w:tcBorders>
              <w:left w:val="nil"/>
              <w:right w:val="nil"/>
            </w:tcBorders>
          </w:tcPr>
          <w:p>
            <w:pPr>
              <w:pStyle w:val="TableParagraph"/>
              <w:rPr>
                <w:rFonts w:ascii="Times New Roman"/>
                <w:sz w:val="16"/>
              </w:rPr>
            </w:pPr>
          </w:p>
        </w:tc>
      </w:tr>
      <w:tr>
        <w:trPr>
          <w:trHeight w:val="485" w:hRule="atLeast"/>
        </w:trPr>
        <w:tc>
          <w:tcPr>
            <w:tcW w:w="7029" w:type="dxa"/>
            <w:tcBorders>
              <w:top w:val="single" w:sz="6" w:space="0" w:color="000000"/>
              <w:bottom w:val="nil"/>
              <w:right w:val="nil"/>
            </w:tcBorders>
            <w:shd w:val="clear" w:color="auto" w:fill="F0F0F0"/>
          </w:tcPr>
          <w:p>
            <w:pPr>
              <w:pStyle w:val="TableParagraph"/>
              <w:spacing w:before="12"/>
              <w:rPr>
                <w:sz w:val="18"/>
              </w:rPr>
            </w:pPr>
          </w:p>
          <w:p>
            <w:pPr>
              <w:pStyle w:val="TableParagraph"/>
              <w:spacing w:before="1"/>
              <w:ind w:left="120"/>
              <w:rPr>
                <w:b/>
                <w:sz w:val="18"/>
              </w:rPr>
            </w:pPr>
            <w:r>
              <w:rPr>
                <w:b/>
                <w:spacing w:val="-2"/>
                <w:sz w:val="18"/>
              </w:rPr>
              <w:t>2-butoxyethanol</w:t>
            </w:r>
          </w:p>
        </w:tc>
        <w:tc>
          <w:tcPr>
            <w:tcW w:w="3070" w:type="dxa"/>
            <w:tcBorders>
              <w:left w:val="nil"/>
              <w:bottom w:val="nil"/>
            </w:tcBorders>
            <w:shd w:val="clear" w:color="auto" w:fill="F0F0F0"/>
          </w:tcPr>
          <w:p>
            <w:pPr>
              <w:pStyle w:val="TableParagraph"/>
              <w:spacing w:before="12"/>
              <w:rPr>
                <w:sz w:val="18"/>
              </w:rPr>
            </w:pPr>
          </w:p>
          <w:p>
            <w:pPr>
              <w:pStyle w:val="TableParagraph"/>
              <w:spacing w:before="1"/>
              <w:ind w:right="106"/>
              <w:jc w:val="right"/>
              <w:rPr>
                <w:b/>
                <w:sz w:val="18"/>
              </w:rPr>
            </w:pPr>
            <w:r>
              <w:rPr>
                <w:b/>
                <w:spacing w:val="-2"/>
                <w:sz w:val="18"/>
              </w:rPr>
              <w:t>10-</w:t>
            </w:r>
            <w:r>
              <w:rPr>
                <w:b/>
                <w:spacing w:val="-5"/>
                <w:sz w:val="18"/>
              </w:rPr>
              <w:t>30%</w:t>
            </w:r>
          </w:p>
        </w:tc>
      </w:tr>
      <w:tr>
        <w:trPr>
          <w:trHeight w:val="361" w:hRule="atLeast"/>
        </w:trPr>
        <w:tc>
          <w:tcPr>
            <w:tcW w:w="7029" w:type="dxa"/>
            <w:tcBorders>
              <w:top w:val="nil"/>
              <w:right w:val="nil"/>
            </w:tcBorders>
            <w:shd w:val="clear" w:color="auto" w:fill="F0F0F0"/>
          </w:tcPr>
          <w:p>
            <w:pPr>
              <w:pStyle w:val="TableParagraph"/>
              <w:spacing w:before="81"/>
              <w:ind w:left="120"/>
              <w:rPr>
                <w:sz w:val="18"/>
              </w:rPr>
            </w:pPr>
            <w:r>
              <w:rPr>
                <w:sz w:val="18"/>
              </w:rPr>
              <w:t>CAS</w:t>
            </w:r>
            <w:r>
              <w:rPr>
                <w:spacing w:val="-7"/>
                <w:sz w:val="18"/>
              </w:rPr>
              <w:t> </w:t>
            </w:r>
            <w:r>
              <w:rPr>
                <w:sz w:val="18"/>
              </w:rPr>
              <w:t>number:</w:t>
            </w:r>
            <w:r>
              <w:rPr>
                <w:spacing w:val="-6"/>
                <w:sz w:val="18"/>
              </w:rPr>
              <w:t> </w:t>
            </w:r>
            <w:r>
              <w:rPr>
                <w:sz w:val="18"/>
              </w:rPr>
              <w:t>111-76-</w:t>
            </w:r>
            <w:r>
              <w:rPr>
                <w:spacing w:val="-10"/>
                <w:sz w:val="18"/>
              </w:rPr>
              <w:t>2</w:t>
            </w:r>
          </w:p>
        </w:tc>
        <w:tc>
          <w:tcPr>
            <w:tcW w:w="3070" w:type="dxa"/>
            <w:tcBorders>
              <w:top w:val="nil"/>
              <w:left w:val="nil"/>
            </w:tcBorders>
            <w:shd w:val="clear" w:color="auto" w:fill="F0F0F0"/>
          </w:tcPr>
          <w:p>
            <w:pPr>
              <w:pStyle w:val="TableParagraph"/>
              <w:rPr>
                <w:rFonts w:ascii="Times New Roman"/>
                <w:sz w:val="16"/>
              </w:rPr>
            </w:pPr>
          </w:p>
        </w:tc>
      </w:tr>
      <w:tr>
        <w:trPr>
          <w:trHeight w:val="90" w:hRule="atLeast"/>
        </w:trPr>
        <w:tc>
          <w:tcPr>
            <w:tcW w:w="7029" w:type="dxa"/>
            <w:tcBorders>
              <w:left w:val="nil"/>
              <w:right w:val="nil"/>
            </w:tcBorders>
          </w:tcPr>
          <w:p>
            <w:pPr>
              <w:pStyle w:val="TableParagraph"/>
              <w:rPr>
                <w:rFonts w:ascii="Times New Roman"/>
                <w:sz w:val="4"/>
              </w:rPr>
            </w:pPr>
          </w:p>
        </w:tc>
        <w:tc>
          <w:tcPr>
            <w:tcW w:w="3070" w:type="dxa"/>
            <w:tcBorders>
              <w:left w:val="nil"/>
              <w:right w:val="nil"/>
            </w:tcBorders>
          </w:tcPr>
          <w:p>
            <w:pPr>
              <w:pStyle w:val="TableParagraph"/>
              <w:rPr>
                <w:rFonts w:ascii="Times New Roman"/>
                <w:sz w:val="4"/>
              </w:rPr>
            </w:pPr>
          </w:p>
        </w:tc>
      </w:tr>
      <w:tr>
        <w:trPr>
          <w:trHeight w:val="758" w:hRule="atLeast"/>
        </w:trPr>
        <w:tc>
          <w:tcPr>
            <w:tcW w:w="7029" w:type="dxa"/>
            <w:tcBorders>
              <w:bottom w:val="nil"/>
              <w:right w:val="nil"/>
            </w:tcBorders>
            <w:shd w:val="clear" w:color="auto" w:fill="F0F0F0"/>
          </w:tcPr>
          <w:p>
            <w:pPr>
              <w:pStyle w:val="TableParagraph"/>
              <w:spacing w:line="270" w:lineRule="atLeast" w:before="152"/>
              <w:ind w:left="120" w:right="2022"/>
              <w:rPr>
                <w:b/>
                <w:sz w:val="18"/>
              </w:rPr>
            </w:pPr>
            <w:r>
              <w:rPr>
                <w:b/>
                <w:sz w:val="18"/>
              </w:rPr>
              <w:t>Benzenesulfonic</w:t>
            </w:r>
            <w:r>
              <w:rPr>
                <w:b/>
                <w:spacing w:val="-10"/>
                <w:sz w:val="18"/>
              </w:rPr>
              <w:t> </w:t>
            </w:r>
            <w:r>
              <w:rPr>
                <w:b/>
                <w:sz w:val="18"/>
              </w:rPr>
              <w:t>acid,</w:t>
            </w:r>
            <w:r>
              <w:rPr>
                <w:b/>
                <w:spacing w:val="-10"/>
                <w:sz w:val="18"/>
              </w:rPr>
              <w:t> </w:t>
            </w:r>
            <w:r>
              <w:rPr>
                <w:b/>
                <w:sz w:val="18"/>
              </w:rPr>
              <w:t>mono-C10-16-alkyl</w:t>
            </w:r>
            <w:r>
              <w:rPr>
                <w:b/>
                <w:spacing w:val="-10"/>
                <w:sz w:val="18"/>
              </w:rPr>
              <w:t> </w:t>
            </w:r>
            <w:r>
              <w:rPr>
                <w:b/>
                <w:sz w:val="18"/>
              </w:rPr>
              <w:t>derivs.,</w:t>
            </w:r>
            <w:r>
              <w:rPr>
                <w:b/>
                <w:spacing w:val="-10"/>
                <w:sz w:val="18"/>
              </w:rPr>
              <w:t> </w:t>
            </w:r>
            <w:r>
              <w:rPr>
                <w:b/>
                <w:sz w:val="18"/>
              </w:rPr>
              <w:t>sodium </w:t>
            </w:r>
            <w:r>
              <w:rPr>
                <w:b/>
                <w:spacing w:val="-2"/>
                <w:sz w:val="18"/>
              </w:rPr>
              <w:t>salts</w:t>
            </w:r>
          </w:p>
        </w:tc>
        <w:tc>
          <w:tcPr>
            <w:tcW w:w="3070" w:type="dxa"/>
            <w:tcBorders>
              <w:left w:val="nil"/>
              <w:bottom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361" w:hRule="atLeast"/>
        </w:trPr>
        <w:tc>
          <w:tcPr>
            <w:tcW w:w="7029" w:type="dxa"/>
            <w:tcBorders>
              <w:top w:val="nil"/>
              <w:right w:val="nil"/>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68081-81-</w:t>
            </w:r>
            <w:r>
              <w:rPr>
                <w:spacing w:val="-10"/>
                <w:sz w:val="18"/>
              </w:rPr>
              <w:t>2</w:t>
            </w:r>
          </w:p>
        </w:tc>
        <w:tc>
          <w:tcPr>
            <w:tcW w:w="3070" w:type="dxa"/>
            <w:tcBorders>
              <w:top w:val="nil"/>
              <w:left w:val="nil"/>
            </w:tcBorders>
            <w:shd w:val="clear" w:color="auto" w:fill="F0F0F0"/>
          </w:tcPr>
          <w:p>
            <w:pPr>
              <w:pStyle w:val="TableParagraph"/>
              <w:rPr>
                <w:rFonts w:ascii="Times New Roman"/>
                <w:sz w:val="16"/>
              </w:rPr>
            </w:pPr>
          </w:p>
        </w:tc>
      </w:tr>
      <w:tr>
        <w:trPr>
          <w:trHeight w:val="90" w:hRule="atLeast"/>
        </w:trPr>
        <w:tc>
          <w:tcPr>
            <w:tcW w:w="7029" w:type="dxa"/>
            <w:tcBorders>
              <w:left w:val="nil"/>
              <w:right w:val="nil"/>
            </w:tcBorders>
          </w:tcPr>
          <w:p>
            <w:pPr>
              <w:pStyle w:val="TableParagraph"/>
              <w:rPr>
                <w:rFonts w:ascii="Times New Roman"/>
                <w:sz w:val="4"/>
              </w:rPr>
            </w:pPr>
          </w:p>
        </w:tc>
        <w:tc>
          <w:tcPr>
            <w:tcW w:w="3070" w:type="dxa"/>
            <w:tcBorders>
              <w:left w:val="nil"/>
              <w:right w:val="nil"/>
            </w:tcBorders>
          </w:tcPr>
          <w:p>
            <w:pPr>
              <w:pStyle w:val="TableParagraph"/>
              <w:rPr>
                <w:rFonts w:ascii="Times New Roman"/>
                <w:sz w:val="4"/>
              </w:rPr>
            </w:pPr>
          </w:p>
        </w:tc>
      </w:tr>
      <w:tr>
        <w:trPr>
          <w:trHeight w:val="488" w:hRule="atLeast"/>
        </w:trPr>
        <w:tc>
          <w:tcPr>
            <w:tcW w:w="7029" w:type="dxa"/>
            <w:tcBorders>
              <w:bottom w:val="nil"/>
              <w:right w:val="nil"/>
            </w:tcBorders>
            <w:shd w:val="clear" w:color="auto" w:fill="F0F0F0"/>
          </w:tcPr>
          <w:p>
            <w:pPr>
              <w:pStyle w:val="TableParagraph"/>
              <w:spacing w:before="15"/>
              <w:rPr>
                <w:sz w:val="18"/>
              </w:rPr>
            </w:pPr>
          </w:p>
          <w:p>
            <w:pPr>
              <w:pStyle w:val="TableParagraph"/>
              <w:ind w:left="120"/>
              <w:rPr>
                <w:b/>
                <w:sz w:val="18"/>
              </w:rPr>
            </w:pPr>
            <w:r>
              <w:rPr>
                <w:b/>
                <w:sz w:val="18"/>
              </w:rPr>
              <w:t>Coconut</w:t>
            </w:r>
            <w:r>
              <w:rPr>
                <w:b/>
                <w:spacing w:val="-12"/>
                <w:sz w:val="18"/>
              </w:rPr>
              <w:t> </w:t>
            </w:r>
            <w:r>
              <w:rPr>
                <w:b/>
                <w:spacing w:val="-2"/>
                <w:sz w:val="18"/>
              </w:rPr>
              <w:t>Diethanolamide</w:t>
            </w:r>
          </w:p>
        </w:tc>
        <w:tc>
          <w:tcPr>
            <w:tcW w:w="3070" w:type="dxa"/>
            <w:tcBorders>
              <w:left w:val="nil"/>
              <w:bottom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361" w:hRule="atLeast"/>
        </w:trPr>
        <w:tc>
          <w:tcPr>
            <w:tcW w:w="7029" w:type="dxa"/>
            <w:tcBorders>
              <w:top w:val="nil"/>
              <w:right w:val="nil"/>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c>
        <w:tc>
          <w:tcPr>
            <w:tcW w:w="3070" w:type="dxa"/>
            <w:tcBorders>
              <w:top w:val="nil"/>
              <w:left w:val="nil"/>
            </w:tcBorders>
            <w:shd w:val="clear" w:color="auto" w:fill="F0F0F0"/>
          </w:tcPr>
          <w:p>
            <w:pPr>
              <w:pStyle w:val="TableParagraph"/>
              <w:rPr>
                <w:rFonts w:ascii="Times New Roman"/>
                <w:sz w:val="16"/>
              </w:rPr>
            </w:pPr>
          </w:p>
        </w:tc>
      </w:tr>
      <w:tr>
        <w:trPr>
          <w:trHeight w:val="190" w:hRule="atLeast"/>
        </w:trPr>
        <w:tc>
          <w:tcPr>
            <w:tcW w:w="7029" w:type="dxa"/>
            <w:tcBorders>
              <w:left w:val="nil"/>
              <w:right w:val="nil"/>
            </w:tcBorders>
          </w:tcPr>
          <w:p>
            <w:pPr>
              <w:pStyle w:val="TableParagraph"/>
              <w:rPr>
                <w:rFonts w:ascii="Times New Roman"/>
                <w:sz w:val="12"/>
              </w:rPr>
            </w:pPr>
          </w:p>
        </w:tc>
        <w:tc>
          <w:tcPr>
            <w:tcW w:w="3070" w:type="dxa"/>
            <w:tcBorders>
              <w:left w:val="nil"/>
              <w:right w:val="nil"/>
            </w:tcBorders>
          </w:tcPr>
          <w:p>
            <w:pPr>
              <w:pStyle w:val="TableParagraph"/>
              <w:rPr>
                <w:rFonts w:ascii="Times New Roman"/>
                <w:sz w:val="12"/>
              </w:rPr>
            </w:pPr>
          </w:p>
        </w:tc>
      </w:tr>
      <w:tr>
        <w:trPr>
          <w:trHeight w:val="290" w:hRule="atLeast"/>
        </w:trPr>
        <w:tc>
          <w:tcPr>
            <w:tcW w:w="7029" w:type="dxa"/>
            <w:tcBorders>
              <w:right w:val="nil"/>
            </w:tcBorders>
            <w:shd w:val="clear" w:color="auto" w:fill="DCDCDC"/>
          </w:tcPr>
          <w:p>
            <w:pPr>
              <w:pStyle w:val="TableParagraph"/>
              <w:spacing w:before="49"/>
              <w:ind w:left="40"/>
              <w:rPr>
                <w:b/>
                <w:sz w:val="18"/>
              </w:rPr>
            </w:pPr>
            <w:bookmarkStart w:name="SECTION 4: First aid measures" w:id="15"/>
            <w:bookmarkEnd w:id="15"/>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3070" w:type="dxa"/>
            <w:tcBorders>
              <w:left w:val="nil"/>
            </w:tcBorders>
            <w:shd w:val="clear" w:color="auto" w:fill="DCDCDC"/>
          </w:tcPr>
          <w:p>
            <w:pPr>
              <w:pStyle w:val="TableParagraph"/>
              <w:rPr>
                <w:rFonts w:ascii="Times New Roman"/>
                <w:sz w:val="16"/>
              </w:rPr>
            </w:pPr>
          </w:p>
        </w:tc>
      </w:tr>
      <w:tr>
        <w:trPr>
          <w:trHeight w:val="355" w:hRule="atLeast"/>
        </w:trPr>
        <w:tc>
          <w:tcPr>
            <w:tcW w:w="7029" w:type="dxa"/>
            <w:tcBorders>
              <w:left w:val="nil"/>
              <w:bottom w:val="nil"/>
              <w:right w:val="nil"/>
            </w:tcBorders>
          </w:tcPr>
          <w:p>
            <w:pPr>
              <w:pStyle w:val="TableParagraph"/>
              <w:spacing w:line="195" w:lineRule="exact" w:before="141"/>
              <w:ind w:left="45"/>
              <w:rPr>
                <w:b/>
                <w:sz w:val="18"/>
              </w:rPr>
            </w:pPr>
            <w:bookmarkStart w:name="Description of first aid measures" w:id="16"/>
            <w:bookmarkEnd w:id="16"/>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3070" w:type="dxa"/>
            <w:tcBorders>
              <w:left w:val="nil"/>
              <w:bottom w:val="nil"/>
              <w:right w:val="nil"/>
            </w:tcBorders>
          </w:tcPr>
          <w:p>
            <w:pPr>
              <w:pStyle w:val="TableParagraph"/>
              <w:rPr>
                <w:rFonts w:ascii="Times New Roman"/>
                <w:sz w:val="16"/>
              </w:rPr>
            </w:pPr>
          </w:p>
        </w:tc>
      </w:tr>
    </w:tbl>
    <w:p>
      <w:pPr>
        <w:pStyle w:val="BodyText"/>
        <w:tabs>
          <w:tab w:pos="2898" w:val="left" w:leader="none"/>
        </w:tabs>
        <w:spacing w:line="297" w:lineRule="auto" w:before="137"/>
        <w:ind w:left="2899" w:right="154"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pStyle w:val="BodyText"/>
        <w:tabs>
          <w:tab w:pos="2898" w:val="left" w:leader="none"/>
        </w:tabs>
        <w:spacing w:line="297" w:lineRule="auto" w:before="138"/>
        <w:ind w:left="2899" w:right="193" w:hanging="2525"/>
      </w:pPr>
      <w:r>
        <w:rPr>
          <w:b/>
        </w:rPr>
        <w:t>Skin Contact</w:t>
        <w:tab/>
      </w:r>
      <w:r>
        <w:rPr/>
        <w:t>It is important to remove the substance from the skin immediately. In the event of any sensitisation symptoms developing, ensure further exposure is avoided. Remove contamination</w:t>
      </w:r>
      <w:r>
        <w:rPr>
          <w:spacing w:val="-3"/>
        </w:rPr>
        <w:t> </w:t>
      </w:r>
      <w:r>
        <w:rPr/>
        <w:t>with</w:t>
      </w:r>
      <w:r>
        <w:rPr>
          <w:spacing w:val="-3"/>
        </w:rPr>
        <w:t> </w:t>
      </w:r>
      <w:r>
        <w:rPr/>
        <w:t>soap</w:t>
      </w:r>
      <w:r>
        <w:rPr>
          <w:spacing w:val="-3"/>
        </w:rPr>
        <w:t> </w:t>
      </w:r>
      <w:r>
        <w:rPr/>
        <w:t>and</w:t>
      </w:r>
      <w:r>
        <w:rPr>
          <w:spacing w:val="-3"/>
        </w:rPr>
        <w:t> </w:t>
      </w:r>
      <w:r>
        <w:rPr/>
        <w:t>water</w:t>
      </w:r>
      <w:r>
        <w:rPr>
          <w:spacing w:val="-3"/>
        </w:rPr>
        <w:t> </w:t>
      </w:r>
      <w:r>
        <w:rPr/>
        <w:t>or</w:t>
      </w:r>
      <w:r>
        <w:rPr>
          <w:spacing w:val="-3"/>
        </w:rPr>
        <w:t> </w:t>
      </w:r>
      <w:r>
        <w:rPr/>
        <w:t>recognised</w:t>
      </w:r>
      <w:r>
        <w:rPr>
          <w:spacing w:val="-3"/>
        </w:rPr>
        <w:t> </w:t>
      </w:r>
      <w:r>
        <w:rPr/>
        <w:t>skin</w:t>
      </w:r>
      <w:r>
        <w:rPr>
          <w:spacing w:val="-3"/>
        </w:rPr>
        <w:t> </w:t>
      </w:r>
      <w:r>
        <w:rPr/>
        <w:t>cleansing</w:t>
      </w:r>
      <w:r>
        <w:rPr>
          <w:spacing w:val="-3"/>
        </w:rPr>
        <w:t> </w:t>
      </w:r>
      <w:r>
        <w:rPr/>
        <w:t>agent.</w:t>
      </w:r>
      <w:r>
        <w:rPr>
          <w:spacing w:val="-3"/>
        </w:rPr>
        <w:t> </w:t>
      </w:r>
      <w:r>
        <w:rPr/>
        <w:t>Get</w:t>
      </w:r>
      <w:r>
        <w:rPr>
          <w:spacing w:val="-3"/>
        </w:rPr>
        <w:t> </w:t>
      </w:r>
      <w:r>
        <w:rPr/>
        <w:t>medical</w:t>
      </w:r>
      <w:r>
        <w:rPr>
          <w:spacing w:val="-3"/>
        </w:rPr>
        <w:t> </w:t>
      </w:r>
      <w:r>
        <w:rPr/>
        <w:t>attention if symptoms are severe or persist after washing.</w:t>
      </w:r>
    </w:p>
    <w:p>
      <w:pPr>
        <w:pStyle w:val="BodyText"/>
        <w:tabs>
          <w:tab w:pos="2898" w:val="left" w:leader="none"/>
        </w:tabs>
        <w:spacing w:line="297" w:lineRule="auto" w:before="13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First</w:t>
      </w:r>
      <w:r>
        <w:rPr>
          <w:spacing w:val="-9"/>
          <w:sz w:val="18"/>
        </w:rPr>
        <w:t> </w:t>
      </w:r>
      <w:r>
        <w:rPr>
          <w:sz w:val="18"/>
        </w:rPr>
        <w:t>aid</w:t>
      </w:r>
      <w:r>
        <w:rPr>
          <w:spacing w:val="-8"/>
          <w:sz w:val="18"/>
        </w:rPr>
        <w:t> </w:t>
      </w:r>
      <w:r>
        <w:rPr>
          <w:sz w:val="18"/>
        </w:rPr>
        <w:t>personnel</w:t>
      </w:r>
      <w:r>
        <w:rPr>
          <w:spacing w:val="-9"/>
          <w:sz w:val="18"/>
        </w:rPr>
        <w:t> </w:t>
      </w:r>
      <w:r>
        <w:rPr>
          <w:sz w:val="18"/>
        </w:rPr>
        <w:t>should</w:t>
      </w:r>
      <w:r>
        <w:rPr>
          <w:spacing w:val="-8"/>
          <w:sz w:val="18"/>
        </w:rPr>
        <w:t> </w:t>
      </w:r>
      <w:r>
        <w:rPr>
          <w:sz w:val="18"/>
        </w:rPr>
        <w:t>wear</w:t>
      </w:r>
      <w:r>
        <w:rPr>
          <w:spacing w:val="-8"/>
          <w:sz w:val="18"/>
        </w:rPr>
        <w:t> </w:t>
      </w:r>
      <w:r>
        <w:rPr>
          <w:sz w:val="18"/>
        </w:rPr>
        <w:t>appropriate</w:t>
      </w:r>
      <w:r>
        <w:rPr>
          <w:spacing w:val="-8"/>
          <w:sz w:val="18"/>
        </w:rPr>
        <w:t> </w:t>
      </w:r>
      <w:r>
        <w:rPr>
          <w:sz w:val="18"/>
        </w:rPr>
        <w:t>protective</w:t>
      </w:r>
      <w:r>
        <w:rPr>
          <w:spacing w:val="-8"/>
          <w:sz w:val="18"/>
        </w:rPr>
        <w:t> </w:t>
      </w:r>
      <w:r>
        <w:rPr>
          <w:sz w:val="18"/>
        </w:rPr>
        <w:t>equipment</w:t>
      </w:r>
      <w:r>
        <w:rPr>
          <w:spacing w:val="-9"/>
          <w:sz w:val="18"/>
        </w:rPr>
        <w:t> </w:t>
      </w:r>
      <w:r>
        <w:rPr>
          <w:sz w:val="18"/>
        </w:rPr>
        <w:t>during</w:t>
      </w:r>
      <w:r>
        <w:rPr>
          <w:spacing w:val="-8"/>
          <w:sz w:val="18"/>
        </w:rPr>
        <w:t> </w:t>
      </w:r>
      <w:r>
        <w:rPr>
          <w:sz w:val="18"/>
        </w:rPr>
        <w:t>any</w:t>
      </w:r>
      <w:r>
        <w:rPr>
          <w:spacing w:val="-8"/>
          <w:sz w:val="18"/>
        </w:rPr>
        <w:t> </w:t>
      </w:r>
      <w:r>
        <w:rPr>
          <w:spacing w:val="-2"/>
          <w:sz w:val="18"/>
        </w:rPr>
        <w:t>rescue.</w:t>
      </w:r>
    </w:p>
    <w:p>
      <w:pPr>
        <w:pStyle w:val="BodyText"/>
        <w:spacing w:before="4"/>
      </w:pPr>
    </w:p>
    <w:p>
      <w:pPr>
        <w:pStyle w:val="Heading2"/>
        <w:rPr>
          <w:u w:val="none"/>
        </w:rPr>
      </w:pPr>
      <w:bookmarkStart w:name="Most important symptoms and effects, bot" w:id="17"/>
      <w:bookmarkEnd w:id="17"/>
      <w:r>
        <w:rPr>
          <w:b w:val="0"/>
          <w:u w:val="none"/>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8"/>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spacing w:after="0"/>
        <w:jc w:val="left"/>
        <w:rPr>
          <w:sz w:val="18"/>
        </w:rPr>
        <w:sectPr>
          <w:pgSz w:w="11900" w:h="16840"/>
          <w:pgMar w:header="458" w:footer="571" w:top="1020" w:bottom="760" w:left="566" w:right="850"/>
        </w:sectPr>
      </w:pPr>
    </w:p>
    <w:p>
      <w:pPr>
        <w:pStyle w:val="Heading1"/>
      </w:pPr>
      <w:r>
        <w:rPr>
          <w:spacing w:val="-2"/>
        </w:rPr>
        <w:t>Crackshot</w:t>
      </w:r>
    </w:p>
    <w:p>
      <w:pPr>
        <w:pStyle w:val="BodyText"/>
        <w:spacing w:before="244"/>
        <w:rPr>
          <w:b/>
          <w:sz w:val="24"/>
        </w:rPr>
      </w:pPr>
    </w:p>
    <w:p>
      <w:pPr>
        <w:pStyle w:val="BodyText"/>
        <w:tabs>
          <w:tab w:pos="2898" w:val="left" w:leader="none"/>
        </w:tabs>
        <w:ind w:left="374"/>
      </w:pPr>
      <w:r>
        <w:rPr>
          <w:b/>
          <w:spacing w:val="-2"/>
        </w:rPr>
        <w:t>Ingestion</w:t>
      </w:r>
      <w:r>
        <w:rPr>
          <w:b/>
        </w:rPr>
        <w:tab/>
      </w:r>
      <w:r>
        <w:rPr/>
        <w:t>May</w:t>
      </w:r>
      <w:r>
        <w:rPr>
          <w:spacing w:val="-6"/>
        </w:rPr>
        <w:t> </w:t>
      </w:r>
      <w:r>
        <w:rPr/>
        <w:t>cause</w:t>
      </w:r>
      <w:r>
        <w:rPr>
          <w:spacing w:val="-5"/>
        </w:rPr>
        <w:t> </w:t>
      </w:r>
      <w:r>
        <w:rPr/>
        <w:t>sensitisation</w:t>
      </w:r>
      <w:r>
        <w:rPr>
          <w:spacing w:val="-5"/>
        </w:rPr>
        <w:t> </w:t>
      </w:r>
      <w:r>
        <w:rPr/>
        <w:t>or</w:t>
      </w:r>
      <w:r>
        <w:rPr>
          <w:spacing w:val="-6"/>
        </w:rPr>
        <w:t> </w:t>
      </w:r>
      <w:r>
        <w:rPr/>
        <w:t>allergic</w:t>
      </w:r>
      <w:r>
        <w:rPr>
          <w:spacing w:val="-5"/>
        </w:rPr>
        <w:t> </w:t>
      </w:r>
      <w:r>
        <w:rPr/>
        <w:t>reactions</w:t>
      </w:r>
      <w:r>
        <w:rPr>
          <w:spacing w:val="-5"/>
        </w:rPr>
        <w:t> </w:t>
      </w:r>
      <w:r>
        <w:rPr/>
        <w:t>in</w:t>
      </w:r>
      <w:r>
        <w:rPr>
          <w:spacing w:val="-6"/>
        </w:rPr>
        <w:t> </w:t>
      </w:r>
      <w:r>
        <w:rPr/>
        <w:t>sensitive</w:t>
      </w:r>
      <w:r>
        <w:rPr>
          <w:spacing w:val="-5"/>
        </w:rPr>
        <w:t> </w:t>
      </w:r>
      <w:r>
        <w:rPr/>
        <w:t>individuals.</w:t>
      </w:r>
      <w:r>
        <w:rPr>
          <w:spacing w:val="-6"/>
        </w:rPr>
        <w:t> </w:t>
      </w:r>
      <w:r>
        <w:rPr/>
        <w:t>May</w:t>
      </w:r>
      <w:r>
        <w:rPr>
          <w:spacing w:val="-6"/>
        </w:rPr>
        <w:t> </w:t>
      </w:r>
      <w:r>
        <w:rPr/>
        <w:t>cause</w:t>
      </w:r>
      <w:r>
        <w:rPr>
          <w:spacing w:val="-5"/>
        </w:rPr>
        <w:t> </w:t>
      </w:r>
      <w:r>
        <w:rPr>
          <w:spacing w:val="-2"/>
        </w:rPr>
        <w:t>irritation.</w:t>
      </w:r>
    </w:p>
    <w:p>
      <w:pPr>
        <w:pStyle w:val="BodyText"/>
        <w:tabs>
          <w:tab w:pos="2898" w:val="left" w:leader="none"/>
        </w:tabs>
        <w:spacing w:line="297" w:lineRule="auto" w:before="188"/>
        <w:ind w:left="2899" w:right="105" w:hanging="2525"/>
      </w:pPr>
      <w:r>
        <w:rPr>
          <w:b/>
        </w:rPr>
        <w:t>Skin contact</w:t>
        <w:tab/>
      </w:r>
      <w:r>
        <w:rPr/>
        <w:t>May</w:t>
      </w:r>
      <w:r>
        <w:rPr>
          <w:spacing w:val="-3"/>
        </w:rPr>
        <w:t> </w:t>
      </w:r>
      <w:r>
        <w:rPr/>
        <w:t>cause</w:t>
      </w:r>
      <w:r>
        <w:rPr>
          <w:spacing w:val="-3"/>
        </w:rPr>
        <w:t> </w:t>
      </w:r>
      <w:r>
        <w:rPr/>
        <w:t>skin</w:t>
      </w:r>
      <w:r>
        <w:rPr>
          <w:spacing w:val="-3"/>
        </w:rPr>
        <w:t> </w:t>
      </w:r>
      <w:r>
        <w:rPr/>
        <w:t>sensitisation</w:t>
      </w:r>
      <w:r>
        <w:rPr>
          <w:spacing w:val="-3"/>
        </w:rPr>
        <w:t> </w:t>
      </w:r>
      <w:r>
        <w:rPr/>
        <w:t>or</w:t>
      </w:r>
      <w:r>
        <w:rPr>
          <w:spacing w:val="-3"/>
        </w:rPr>
        <w:t> </w:t>
      </w:r>
      <w:r>
        <w:rPr/>
        <w:t>allergic</w:t>
      </w:r>
      <w:r>
        <w:rPr>
          <w:spacing w:val="-3"/>
        </w:rPr>
        <w:t> </w:t>
      </w:r>
      <w:r>
        <w:rPr/>
        <w:t>reactions</w:t>
      </w:r>
      <w:r>
        <w:rPr>
          <w:spacing w:val="-3"/>
        </w:rPr>
        <w:t> </w:t>
      </w:r>
      <w:r>
        <w:rPr/>
        <w:t>in</w:t>
      </w:r>
      <w:r>
        <w:rPr>
          <w:spacing w:val="-3"/>
        </w:rPr>
        <w:t> </w:t>
      </w:r>
      <w:r>
        <w:rPr/>
        <w:t>sensitive</w:t>
      </w:r>
      <w:r>
        <w:rPr>
          <w:spacing w:val="-3"/>
        </w:rPr>
        <w:t> </w:t>
      </w:r>
      <w:r>
        <w:rPr/>
        <w:t>individuals.</w:t>
      </w:r>
      <w:r>
        <w:rPr>
          <w:spacing w:val="-4"/>
        </w:rPr>
        <w:t> </w:t>
      </w:r>
      <w:r>
        <w:rPr/>
        <w:t>Redness.</w:t>
      </w:r>
      <w:r>
        <w:rPr>
          <w:spacing w:val="-4"/>
        </w:rPr>
        <w:t> </w:t>
      </w:r>
      <w:r>
        <w:rPr/>
        <w:t>Irritating</w:t>
      </w:r>
      <w:r>
        <w:rPr>
          <w:spacing w:val="-3"/>
        </w:rPr>
        <w:t> </w:t>
      </w:r>
      <w:r>
        <w:rPr/>
        <w:t>to </w:t>
      </w:r>
      <w:r>
        <w:rPr>
          <w:spacing w:val="-2"/>
        </w:rPr>
        <w:t>skin.</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spacing w:before="159"/>
        <w:rPr>
          <w:u w:val="none"/>
        </w:rPr>
      </w:pPr>
      <w:bookmarkStart w:name="Indication of any immediate medical atte" w:id="18"/>
      <w:bookmarkEnd w:id="18"/>
      <w:r>
        <w:rPr>
          <w:b w:val="0"/>
          <w:u w:val="none"/>
        </w:rPr>
      </w:r>
      <w:r>
        <w:rPr>
          <w:u w:val="single"/>
        </w:rPr>
        <w:t>Indication</w:t>
      </w:r>
      <w:r>
        <w:rPr>
          <w:spacing w:val="-11"/>
          <w:u w:val="single"/>
        </w:rPr>
        <w:t> </w:t>
      </w:r>
      <w:r>
        <w:rPr>
          <w:u w:val="single"/>
        </w:rPr>
        <w:t>of</w:t>
      </w:r>
      <w:r>
        <w:rPr>
          <w:spacing w:val="-10"/>
          <w:u w:val="single"/>
        </w:rPr>
        <w:t> </w:t>
      </w:r>
      <w:r>
        <w:rPr>
          <w:u w:val="single"/>
        </w:rPr>
        <w:t>any</w:t>
      </w:r>
      <w:r>
        <w:rPr>
          <w:spacing w:val="-10"/>
          <w:u w:val="single"/>
        </w:rPr>
        <w:t> </w:t>
      </w:r>
      <w:r>
        <w:rPr>
          <w:u w:val="single"/>
        </w:rPr>
        <w:t>immediate</w:t>
      </w:r>
      <w:r>
        <w:rPr>
          <w:spacing w:val="-10"/>
          <w:u w:val="single"/>
        </w:rPr>
        <w:t> </w:t>
      </w:r>
      <w:r>
        <w:rPr>
          <w:u w:val="single"/>
        </w:rPr>
        <w:t>medical</w:t>
      </w:r>
      <w:r>
        <w:rPr>
          <w:spacing w:val="-10"/>
          <w:u w:val="single"/>
        </w:rPr>
        <w:t> </w:t>
      </w:r>
      <w:r>
        <w:rPr>
          <w:u w:val="single"/>
        </w:rPr>
        <w:t>attention</w:t>
      </w:r>
      <w:r>
        <w:rPr>
          <w:spacing w:val="-10"/>
          <w:u w:val="single"/>
        </w:rPr>
        <w:t> </w:t>
      </w:r>
      <w:r>
        <w:rPr>
          <w:u w:val="single"/>
        </w:rPr>
        <w:t>and</w:t>
      </w:r>
      <w:r>
        <w:rPr>
          <w:spacing w:val="-10"/>
          <w:u w:val="single"/>
        </w:rPr>
        <w:t> </w:t>
      </w:r>
      <w:r>
        <w:rPr>
          <w:u w:val="single"/>
        </w:rPr>
        <w:t>special</w:t>
      </w:r>
      <w:r>
        <w:rPr>
          <w:spacing w:val="-10"/>
          <w:u w:val="single"/>
        </w:rPr>
        <w:t> </w:t>
      </w:r>
      <w:r>
        <w:rPr>
          <w:u w:val="single"/>
        </w:rPr>
        <w:t>treatment</w:t>
      </w:r>
      <w:r>
        <w:rPr>
          <w:spacing w:val="-10"/>
          <w:u w:val="single"/>
        </w:rPr>
        <w:t> </w:t>
      </w:r>
      <w:r>
        <w:rPr>
          <w:spacing w:val="-2"/>
          <w:u w:val="single"/>
        </w:rPr>
        <w:t>needed</w:t>
      </w:r>
    </w:p>
    <w:p>
      <w:pPr>
        <w:pStyle w:val="BodyText"/>
        <w:tabs>
          <w:tab w:pos="2898" w:val="left" w:leader="none"/>
        </w:tabs>
        <w:spacing w:before="148"/>
        <w:ind w:left="374"/>
      </w:pPr>
      <w:r>
        <w:rPr>
          <w:b/>
        </w:rPr>
        <w:t>Notes</w:t>
      </w:r>
      <w:r>
        <w:rPr>
          <w:b/>
          <w:spacing w:val="-3"/>
        </w:rPr>
        <w:t> </w:t>
      </w:r>
      <w:r>
        <w:rPr>
          <w:b/>
        </w:rPr>
        <w:t>for</w:t>
      </w:r>
      <w:r>
        <w:rPr>
          <w:b/>
          <w:spacing w:val="-3"/>
        </w:rPr>
        <w:t> </w:t>
      </w:r>
      <w:r>
        <w:rPr>
          <w:b/>
        </w:rPr>
        <w:t>the</w:t>
      </w:r>
      <w:r>
        <w:rPr>
          <w:b/>
          <w:spacing w:val="-3"/>
        </w:rPr>
        <w:t> </w:t>
      </w:r>
      <w:r>
        <w:rPr>
          <w:b/>
          <w:spacing w:val="-2"/>
        </w:rPr>
        <w:t>doctor</w:t>
      </w:r>
      <w:r>
        <w:rPr>
          <w:b/>
        </w:rPr>
        <w:tab/>
      </w:r>
      <w:r>
        <w:rPr/>
        <w:t>Treat</w:t>
      </w:r>
      <w:r>
        <w:rPr>
          <w:spacing w:val="-8"/>
        </w:rPr>
        <w:t> </w:t>
      </w:r>
      <w:r>
        <w:rPr/>
        <w:t>symptomatically.</w:t>
      </w:r>
      <w:r>
        <w:rPr>
          <w:spacing w:val="-8"/>
        </w:rPr>
        <w:t> </w:t>
      </w:r>
      <w:r>
        <w:rPr/>
        <w:t>May</w:t>
      </w:r>
      <w:r>
        <w:rPr>
          <w:spacing w:val="-7"/>
        </w:rPr>
        <w:t> </w:t>
      </w:r>
      <w:r>
        <w:rPr/>
        <w:t>cause</w:t>
      </w:r>
      <w:r>
        <w:rPr>
          <w:spacing w:val="-7"/>
        </w:rPr>
        <w:t> </w:t>
      </w:r>
      <w:r>
        <w:rPr/>
        <w:t>sensitisation</w:t>
      </w:r>
      <w:r>
        <w:rPr>
          <w:spacing w:val="-7"/>
        </w:rPr>
        <w:t> </w:t>
      </w:r>
      <w:r>
        <w:rPr/>
        <w:t>or</w:t>
      </w:r>
      <w:r>
        <w:rPr>
          <w:spacing w:val="-7"/>
        </w:rPr>
        <w:t> </w:t>
      </w:r>
      <w:r>
        <w:rPr/>
        <w:t>allergic</w:t>
      </w:r>
      <w:r>
        <w:rPr>
          <w:spacing w:val="-7"/>
        </w:rPr>
        <w:t> </w:t>
      </w:r>
      <w:r>
        <w:rPr/>
        <w:t>reactions</w:t>
      </w:r>
      <w:r>
        <w:rPr>
          <w:spacing w:val="-6"/>
        </w:rPr>
        <w:t> </w:t>
      </w:r>
      <w:r>
        <w:rPr/>
        <w:t>in</w:t>
      </w:r>
      <w:r>
        <w:rPr>
          <w:spacing w:val="-7"/>
        </w:rPr>
        <w:t> </w:t>
      </w:r>
      <w:r>
        <w:rPr/>
        <w:t>sensitive</w:t>
      </w:r>
      <w:r>
        <w:rPr>
          <w:spacing w:val="-7"/>
        </w:rPr>
        <w:t> </w:t>
      </w:r>
      <w:r>
        <w:rPr>
          <w:spacing w:val="-2"/>
        </w:rPr>
        <w:t>individuals.</w:t>
      </w:r>
    </w:p>
    <w:p>
      <w:pPr>
        <w:pStyle w:val="BodyText"/>
        <w:spacing w:before="9"/>
        <w:rPr>
          <w:sz w:val="11"/>
        </w:rPr>
      </w:pPr>
      <w:r>
        <w:rPr>
          <w:sz w:val="11"/>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103217</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9"/>
                            <w:bookmarkEnd w:id="19"/>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27383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rPr>
          <w:u w:val="none"/>
        </w:rPr>
      </w:pPr>
      <w:bookmarkStart w:name="Extinguishing media" w:id="21"/>
      <w:bookmarkEnd w:id="21"/>
      <w:r>
        <w:rPr>
          <w:b w:val="0"/>
          <w:u w:val="none"/>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rPr>
          <w:u w:val="none"/>
        </w:rPr>
      </w:pPr>
      <w:r>
        <w:rPr>
          <w:u w:val="none"/>
        </w:rPr>
        <w:t>Unsuitable</w:t>
      </w:r>
      <w:r>
        <w:rPr>
          <w:spacing w:val="-12"/>
          <w:u w:val="none"/>
        </w:rPr>
        <w:t> </w:t>
      </w:r>
      <w:r>
        <w:rPr>
          <w:u w:val="none"/>
        </w:rPr>
        <w:t>extinguishing </w:t>
      </w:r>
      <w:r>
        <w:rPr>
          <w:spacing w:val="-2"/>
          <w:u w:val="none"/>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rPr>
          <w:u w:val="none"/>
        </w:rPr>
      </w:pPr>
      <w:bookmarkStart w:name="Special hazards arising from the substan" w:id="22"/>
      <w:bookmarkEnd w:id="22"/>
      <w:r>
        <w:rPr>
          <w:b w:val="0"/>
          <w:u w:val="none"/>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3"/>
      <w:bookmarkEnd w:id="23"/>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4"/>
                            <w:bookmarkEnd w:id="24"/>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8"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rPr>
          <w:u w:val="none"/>
        </w:rPr>
      </w:pPr>
      <w:bookmarkStart w:name="Personal precautions, protective equipme" w:id="26"/>
      <w:bookmarkEnd w:id="26"/>
      <w:r>
        <w:rPr>
          <w:b w:val="0"/>
          <w:u w:val="none"/>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contact with skin and </w:t>
      </w:r>
      <w:r>
        <w:rPr>
          <w:spacing w:val="-2"/>
        </w:rPr>
        <w:t>eyes.</w:t>
      </w:r>
    </w:p>
    <w:p>
      <w:pPr>
        <w:pStyle w:val="Heading2"/>
        <w:spacing w:before="158"/>
        <w:rPr>
          <w:u w:val="none"/>
        </w:rPr>
      </w:pPr>
      <w:bookmarkStart w:name="Environmental precautions" w:id="27"/>
      <w:bookmarkEnd w:id="27"/>
      <w:r>
        <w:rPr>
          <w:b w:val="0"/>
          <w:u w:val="none"/>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5"/>
      </w:pPr>
    </w:p>
    <w:p>
      <w:pPr>
        <w:pStyle w:val="Heading2"/>
        <w:rPr>
          <w:u w:val="none"/>
        </w:rPr>
      </w:pPr>
      <w:bookmarkStart w:name="Methods and material for containment and" w:id="28"/>
      <w:bookmarkEnd w:id="28"/>
      <w:r>
        <w:rPr>
          <w:b w:val="0"/>
          <w:u w:val="none"/>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54" w:hanging="2525"/>
      </w:pPr>
      <w:r>
        <w:rPr>
          <w:b/>
        </w:rPr>
        <w:t>Methods for cleaning up</w:t>
        <w:tab/>
      </w:r>
      <w:r>
        <w:rPr/>
        <w:t>Wear protective clothing as described in Section 8 of this safety data sheet. Clear up spills immediately and dispose of waste safely. Do not use sawdust or other combustible material.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 and remove from the area as soon 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 a spillage. For waste disposal, see Section 13.</w:t>
      </w:r>
    </w:p>
    <w:p>
      <w:pPr>
        <w:pStyle w:val="BodyText"/>
        <w:spacing w:after="0" w:line="297" w:lineRule="auto"/>
        <w:sectPr>
          <w:type w:val="continuous"/>
          <w:pgSz w:w="11900" w:h="16840"/>
          <w:pgMar w:header="458" w:footer="571" w:top="1020" w:bottom="760" w:left="566" w:right="850"/>
        </w:sectPr>
      </w:pPr>
    </w:p>
    <w:p>
      <w:pPr>
        <w:pStyle w:val="Heading1"/>
      </w:pPr>
      <w:r>
        <w:rPr>
          <w:spacing w:val="-2"/>
        </w:rPr>
        <w:t>Crackshot</w:t>
      </w:r>
    </w:p>
    <w:p>
      <w:pPr>
        <w:pStyle w:val="BodyText"/>
        <w:rPr>
          <w:b/>
        </w:rPr>
      </w:pPr>
    </w:p>
    <w:p>
      <w:pPr>
        <w:pStyle w:val="BodyText"/>
        <w:spacing w:before="128"/>
        <w:rPr>
          <w:b/>
        </w:rPr>
      </w:pPr>
    </w:p>
    <w:p>
      <w:pPr>
        <w:pStyle w:val="Heading2"/>
        <w:rPr>
          <w:u w:val="none"/>
        </w:rPr>
      </w:pPr>
      <w:bookmarkStart w:name="Reference to other sections" w:id="29"/>
      <w:bookmarkEnd w:id="29"/>
      <w:r>
        <w:rPr>
          <w:b w:val="0"/>
          <w:u w:val="none"/>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71636</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40703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rPr>
          <w:u w:val="none"/>
        </w:rPr>
      </w:pPr>
      <w:bookmarkStart w:name="Precautions for safe handling" w:id="32"/>
      <w:bookmarkEnd w:id="32"/>
      <w:r>
        <w:rPr>
          <w:b w:val="0"/>
          <w:u w:val="none"/>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65"/>
        <w:jc w:val="both"/>
      </w:pPr>
      <w:r>
        <w:rPr/>
        <w:t>Handle</w:t>
      </w:r>
      <w:r>
        <w:rPr>
          <w:spacing w:val="-1"/>
        </w:rPr>
        <w:t> </w:t>
      </w:r>
      <w:r>
        <w:rPr/>
        <w:t>all</w:t>
      </w:r>
      <w:r>
        <w:rPr>
          <w:spacing w:val="-1"/>
        </w:rPr>
        <w:t> </w:t>
      </w:r>
      <w:r>
        <w:rPr/>
        <w:t>packages</w:t>
      </w:r>
      <w:r>
        <w:rPr>
          <w:spacing w:val="-1"/>
        </w:rPr>
        <w:t> </w:t>
      </w:r>
      <w:r>
        <w:rPr/>
        <w:t>and</w:t>
      </w:r>
      <w:r>
        <w:rPr>
          <w:spacing w:val="-1"/>
        </w:rPr>
        <w:t> </w:t>
      </w:r>
      <w:r>
        <w:rPr/>
        <w:t>containers</w:t>
      </w:r>
      <w:r>
        <w:rPr>
          <w:spacing w:val="-1"/>
        </w:rPr>
        <w:t> </w:t>
      </w:r>
      <w:r>
        <w:rPr/>
        <w:t>carefully</w:t>
      </w:r>
      <w:r>
        <w:rPr>
          <w:spacing w:val="-1"/>
        </w:rPr>
        <w:t> </w:t>
      </w:r>
      <w:r>
        <w:rPr/>
        <w:t>to</w:t>
      </w:r>
      <w:r>
        <w:rPr>
          <w:spacing w:val="-1"/>
        </w:rPr>
        <w:t> </w:t>
      </w:r>
      <w:r>
        <w:rPr/>
        <w:t>minimise</w:t>
      </w:r>
      <w:r>
        <w:rPr>
          <w:spacing w:val="-1"/>
        </w:rPr>
        <w:t> </w:t>
      </w:r>
      <w:r>
        <w:rPr/>
        <w:t>spills.</w:t>
      </w:r>
      <w:r>
        <w:rPr>
          <w:spacing w:val="-2"/>
        </w:rPr>
        <w:t> </w:t>
      </w:r>
      <w:r>
        <w:rPr/>
        <w:t>Keep</w:t>
      </w:r>
      <w:r>
        <w:rPr>
          <w:spacing w:val="-1"/>
        </w:rPr>
        <w:t> </w:t>
      </w:r>
      <w:r>
        <w:rPr/>
        <w:t>container</w:t>
      </w:r>
      <w:r>
        <w:rPr>
          <w:spacing w:val="-1"/>
        </w:rPr>
        <w:t> </w:t>
      </w:r>
      <w:r>
        <w:rPr/>
        <w:t>tightly</w:t>
      </w:r>
      <w:r>
        <w:rPr>
          <w:spacing w:val="-1"/>
        </w:rPr>
        <w:t> </w:t>
      </w:r>
      <w:r>
        <w:rPr/>
        <w:t>sealed when not in use. Avoid the formation of mists. Do not handle until all safety precautions have 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w:t>
      </w:r>
      <w:r>
        <w:rPr>
          <w:spacing w:val="-3"/>
        </w:rPr>
        <w:t> </w:t>
      </w:r>
      <w:r>
        <w:rPr/>
        <w:t>handle</w:t>
      </w:r>
      <w:r>
        <w:rPr>
          <w:spacing w:val="-2"/>
        </w:rPr>
        <w:t> </w:t>
      </w:r>
      <w:r>
        <w:rPr/>
        <w:t>broken</w:t>
      </w:r>
      <w:r>
        <w:rPr>
          <w:spacing w:val="-2"/>
        </w:rPr>
        <w:t> </w:t>
      </w:r>
      <w:r>
        <w:rPr/>
        <w:t>packages</w:t>
      </w:r>
      <w:r>
        <w:rPr>
          <w:spacing w:val="-2"/>
        </w:rPr>
        <w:t> </w:t>
      </w:r>
      <w:r>
        <w:rPr/>
        <w:t>without</w:t>
      </w:r>
      <w:r>
        <w:rPr>
          <w:spacing w:val="-3"/>
        </w:rPr>
        <w:t> </w:t>
      </w:r>
      <w:r>
        <w:rPr/>
        <w:t>protective</w:t>
      </w:r>
      <w:r>
        <w:rPr>
          <w:spacing w:val="-2"/>
        </w:rPr>
        <w:t> </w:t>
      </w:r>
      <w:r>
        <w:rPr/>
        <w:t>equipment.</w:t>
      </w:r>
      <w:r>
        <w:rPr>
          <w:spacing w:val="-3"/>
        </w:rPr>
        <w:t> </w:t>
      </w:r>
      <w:r>
        <w:rPr/>
        <w:t>Do not reuse empty containers.</w:t>
      </w:r>
    </w:p>
    <w:p>
      <w:pPr>
        <w:pStyle w:val="BodyText"/>
        <w:spacing w:after="0" w:line="297" w:lineRule="auto"/>
        <w:jc w:val="both"/>
        <w:sectPr>
          <w:pgSz w:w="11900" w:h="16840"/>
          <w:pgMar w:header="458" w:footer="571" w:top="1020" w:bottom="760" w:left="566" w:right="850"/>
        </w:sectPr>
      </w:pPr>
    </w:p>
    <w:p>
      <w:pPr>
        <w:pStyle w:val="Heading2"/>
        <w:spacing w:line="297" w:lineRule="auto" w:before="136"/>
        <w:ind w:right="38"/>
        <w:rPr>
          <w:u w:val="none"/>
        </w:rPr>
      </w:pPr>
      <w:r>
        <w:rPr>
          <w:u w:val="none"/>
        </w:rPr>
        <w:t>Advice on general occupational</w:t>
      </w:r>
      <w:r>
        <w:rPr>
          <w:spacing w:val="-12"/>
          <w:u w:val="none"/>
        </w:rPr>
        <w:t> </w:t>
      </w:r>
      <w:r>
        <w:rPr>
          <w:u w:val="none"/>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rPr>
          <w:u w:val="none"/>
        </w:rPr>
      </w:pPr>
      <w:bookmarkStart w:name="Conditions for safe storage, including a" w:id="33"/>
      <w:bookmarkEnd w:id="33"/>
      <w:r>
        <w:rPr>
          <w:b w:val="0"/>
          <w:u w:val="none"/>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4"/>
      </w:pPr>
    </w:p>
    <w:p>
      <w:pPr>
        <w:pStyle w:val="Heading2"/>
        <w:spacing w:before="1"/>
        <w:rPr>
          <w:u w:val="none"/>
        </w:rPr>
      </w:pPr>
      <w:bookmarkStart w:name="Specific end use(s)" w:id="34"/>
      <w:bookmarkEnd w:id="34"/>
      <w:r>
        <w:rPr>
          <w:b w:val="0"/>
          <w:u w:val="none"/>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103098</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807"/>
        <w:rPr>
          <w:u w:val="none"/>
        </w:rPr>
      </w:pPr>
      <w:bookmarkStart w:name="Control parameters" w:id="37"/>
      <w:bookmarkEnd w:id="37"/>
      <w:r>
        <w:rPr>
          <w:b w:val="0"/>
          <w:u w:val="none"/>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2-butoxyethanol</w:t>
      </w:r>
    </w:p>
    <w:p>
      <w:pPr>
        <w:pStyle w:val="BodyText"/>
        <w:spacing w:line="297" w:lineRule="auto" w:before="31"/>
        <w:ind w:left="374" w:right="532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20</w:t>
      </w:r>
      <w:r>
        <w:rPr>
          <w:spacing w:val="-4"/>
        </w:rPr>
        <w:t> </w:t>
      </w:r>
      <w:r>
        <w:rPr/>
        <w:t>ppm</w:t>
      </w:r>
      <w:r>
        <w:rPr>
          <w:spacing w:val="-4"/>
        </w:rPr>
        <w:t> </w:t>
      </w:r>
      <w:r>
        <w:rPr/>
        <w:t>96.9</w:t>
      </w:r>
      <w:r>
        <w:rPr>
          <w:spacing w:val="-4"/>
        </w:rPr>
        <w:t> </w:t>
      </w:r>
      <w:r>
        <w:rPr/>
        <w:t>mg/m³ Short-term exposure limit (15-minute): 50 ppm 242 mg/m³ </w:t>
      </w:r>
      <w:r>
        <w:rPr>
          <w:spacing w:val="-6"/>
        </w:rPr>
        <w:t>Sk</w:t>
      </w:r>
    </w:p>
    <w:p>
      <w:pPr>
        <w:pStyle w:val="BodyText"/>
        <w:spacing w:before="6"/>
        <w:ind w:left="374"/>
      </w:pPr>
      <w:r>
        <w:rPr/>
        <w:t>Sk</w:t>
      </w:r>
      <w:r>
        <w:rPr>
          <w:spacing w:val="-3"/>
        </w:rPr>
        <w:t> </w:t>
      </w:r>
      <w:r>
        <w:rPr/>
        <w:t>=</w:t>
      </w:r>
      <w:r>
        <w:rPr>
          <w:spacing w:val="-4"/>
        </w:rPr>
        <w:t> </w:t>
      </w:r>
      <w:r>
        <w:rPr/>
        <w:t>Absorption</w:t>
      </w:r>
      <w:r>
        <w:rPr>
          <w:spacing w:val="-3"/>
        </w:rPr>
        <w:t> </w:t>
      </w:r>
      <w:r>
        <w:rPr/>
        <w:t>through</w:t>
      </w:r>
      <w:r>
        <w:rPr>
          <w:spacing w:val="-2"/>
        </w:rPr>
        <w:t> </w:t>
      </w:r>
      <w:r>
        <w:rPr/>
        <w:t>the</w:t>
      </w:r>
      <w:r>
        <w:rPr>
          <w:spacing w:val="-3"/>
        </w:rPr>
        <w:t> </w:t>
      </w:r>
      <w:r>
        <w:rPr/>
        <w:t>skin</w:t>
      </w:r>
      <w:r>
        <w:rPr>
          <w:spacing w:val="-3"/>
        </w:rPr>
        <w:t> </w:t>
      </w:r>
      <w:r>
        <w:rPr/>
        <w:t>may</w:t>
      </w:r>
      <w:r>
        <w:rPr>
          <w:spacing w:val="-3"/>
        </w:rPr>
        <w:t> </w:t>
      </w:r>
      <w:r>
        <w:rPr/>
        <w:t>be</w:t>
      </w:r>
      <w:r>
        <w:rPr>
          <w:spacing w:val="-2"/>
        </w:rPr>
        <w:t> </w:t>
      </w:r>
      <w:r>
        <w:rPr/>
        <w:t>a</w:t>
      </w:r>
      <w:r>
        <w:rPr>
          <w:spacing w:val="-3"/>
        </w:rPr>
        <w:t> </w:t>
      </w:r>
      <w:r>
        <w:rPr/>
        <w:t>significant</w:t>
      </w:r>
      <w:r>
        <w:rPr>
          <w:spacing w:val="-4"/>
        </w:rPr>
        <w:t> </w:t>
      </w:r>
      <w:r>
        <w:rPr/>
        <w:t>source</w:t>
      </w:r>
      <w:r>
        <w:rPr>
          <w:spacing w:val="-3"/>
        </w:rPr>
        <w:t> </w:t>
      </w:r>
      <w:r>
        <w:rPr/>
        <w:t>of</w:t>
      </w:r>
      <w:r>
        <w:rPr>
          <w:spacing w:val="-3"/>
        </w:rPr>
        <w:t> </w:t>
      </w:r>
      <w:r>
        <w:rPr>
          <w:spacing w:val="-2"/>
        </w:rPr>
        <w:t>exposure.</w:t>
      </w:r>
    </w:p>
    <w:p>
      <w:pPr>
        <w:pStyle w:val="BodyText"/>
        <w:spacing w:before="5"/>
      </w:pPr>
    </w:p>
    <w:p>
      <w:pPr>
        <w:pStyle w:val="Heading2"/>
        <w:spacing w:line="436" w:lineRule="auto"/>
        <w:ind w:right="8411"/>
        <w:rPr>
          <w:u w:val="none"/>
        </w:rPr>
      </w:pPr>
      <w:r>
        <w:rPr/>
        <w:drawing>
          <wp:anchor distT="0" distB="0" distL="0" distR="0" allowOverlap="1" layoutInCell="1" locked="0" behindDoc="0" simplePos="0" relativeHeight="15732224">
            <wp:simplePos x="0" y="0"/>
            <wp:positionH relativeFrom="page">
              <wp:posOffset>596900</wp:posOffset>
            </wp:positionH>
            <wp:positionV relativeFrom="paragraph">
              <wp:posOffset>391222</wp:posOffset>
            </wp:positionV>
            <wp:extent cx="508000" cy="50799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7999"/>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1359153</wp:posOffset>
            </wp:positionH>
            <wp:positionV relativeFrom="paragraph">
              <wp:posOffset>391222</wp:posOffset>
            </wp:positionV>
            <wp:extent cx="507999" cy="50799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7999"/>
                    </a:xfrm>
                    <a:prstGeom prst="rect">
                      <a:avLst/>
                    </a:prstGeom>
                  </pic:spPr>
                </pic:pic>
              </a:graphicData>
            </a:graphic>
          </wp:anchor>
        </w:drawing>
      </w:r>
      <w:bookmarkStart w:name="Exposure controls " w:id="38"/>
      <w:bookmarkEnd w:id="38"/>
      <w:r>
        <w:rPr>
          <w:b w:val="0"/>
          <w:u w:val="none"/>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6"/>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3"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1"/>
      </w:pPr>
      <w:r>
        <w:rPr>
          <w:spacing w:val="-2"/>
        </w:rPr>
        <w:t>Crackshot</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ind w:right="38"/>
        <w:rPr>
          <w:u w:val="none"/>
        </w:rPr>
      </w:pPr>
      <w:r>
        <w:rPr>
          <w:u w:val="none"/>
        </w:rPr>
        <w:t>Other</w:t>
      </w:r>
      <w:r>
        <w:rPr>
          <w:spacing w:val="-11"/>
          <w:u w:val="none"/>
        </w:rPr>
        <w:t> </w:t>
      </w:r>
      <w:r>
        <w:rPr>
          <w:u w:val="none"/>
        </w:rPr>
        <w:t>skin</w:t>
      </w:r>
      <w:r>
        <w:rPr>
          <w:spacing w:val="-11"/>
          <w:u w:val="none"/>
        </w:rPr>
        <w:t> </w:t>
      </w:r>
      <w:r>
        <w:rPr>
          <w:u w:val="none"/>
        </w:rPr>
        <w:t>and</w:t>
      </w:r>
      <w:r>
        <w:rPr>
          <w:spacing w:val="-11"/>
          <w:u w:val="none"/>
        </w:rPr>
        <w:t> </w:t>
      </w:r>
      <w:r>
        <w:rPr>
          <w:u w:val="none"/>
        </w:rPr>
        <w:t>body </w:t>
      </w:r>
      <w:r>
        <w:rPr>
          <w:spacing w:val="-2"/>
          <w:u w:val="none"/>
        </w:rPr>
        <w:t>protection</w:t>
      </w:r>
    </w:p>
    <w:p>
      <w:pPr>
        <w:pStyle w:val="BodyText"/>
        <w:spacing w:line="297" w:lineRule="auto" w:before="126"/>
        <w:ind w:left="373"/>
      </w:pPr>
      <w:r>
        <w:rPr/>
        <w:br w:type="column"/>
      </w:r>
      <w:r>
        <w:rPr/>
        <w:t>May</w:t>
      </w:r>
      <w:r>
        <w:rPr>
          <w:spacing w:val="-4"/>
        </w:rPr>
        <w:t> </w:t>
      </w:r>
      <w:r>
        <w:rPr/>
        <w:t>cause</w:t>
      </w:r>
      <w:r>
        <w:rPr>
          <w:spacing w:val="-4"/>
        </w:rPr>
        <w:t> </w:t>
      </w:r>
      <w:r>
        <w:rPr/>
        <w:t>skin</w:t>
      </w:r>
      <w:r>
        <w:rPr>
          <w:spacing w:val="-4"/>
        </w:rPr>
        <w:t> </w:t>
      </w:r>
      <w:r>
        <w:rPr/>
        <w:t>sensitisation</w:t>
      </w:r>
      <w:r>
        <w:rPr>
          <w:spacing w:val="-4"/>
        </w:rPr>
        <w:t> </w:t>
      </w:r>
      <w:r>
        <w:rPr/>
        <w:t>or</w:t>
      </w:r>
      <w:r>
        <w:rPr>
          <w:spacing w:val="-4"/>
        </w:rPr>
        <w:t> </w:t>
      </w:r>
      <w:r>
        <w:rPr/>
        <w:t>allergic</w:t>
      </w:r>
      <w:r>
        <w:rPr>
          <w:spacing w:val="-4"/>
        </w:rPr>
        <w:t> </w:t>
      </w:r>
      <w:r>
        <w:rPr/>
        <w:t>reactions</w:t>
      </w:r>
      <w:r>
        <w:rPr>
          <w:spacing w:val="-4"/>
        </w:rPr>
        <w:t> </w:t>
      </w:r>
      <w:r>
        <w:rPr/>
        <w:t>in</w:t>
      </w:r>
      <w:r>
        <w:rPr>
          <w:spacing w:val="-4"/>
        </w:rPr>
        <w:t> </w:t>
      </w:r>
      <w:r>
        <w:rPr/>
        <w:t>sensitive</w:t>
      </w:r>
      <w:r>
        <w:rPr>
          <w:spacing w:val="-4"/>
        </w:rPr>
        <w:t> </w:t>
      </w:r>
      <w:r>
        <w:rPr/>
        <w:t>individuals.</w:t>
      </w:r>
      <w:r>
        <w:rPr>
          <w:spacing w:val="-4"/>
        </w:rPr>
        <w:t> </w:t>
      </w:r>
      <w:r>
        <w:rPr/>
        <w:t>Wear</w:t>
      </w:r>
      <w:r>
        <w:rPr>
          <w:spacing w:val="-4"/>
        </w:rPr>
        <w:t> </w:t>
      </w:r>
      <w:r>
        <w:rPr/>
        <w:t>appropriate clothing to prevent repeated or prolonged skin contact.</w:t>
      </w:r>
    </w:p>
    <w:p>
      <w:pPr>
        <w:pStyle w:val="BodyText"/>
        <w:spacing w:after="0" w:line="297" w:lineRule="auto"/>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5"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rPr>
          <w:u w:val="none"/>
        </w:rPr>
      </w:pPr>
      <w:r>
        <w:rPr>
          <w:u w:val="none"/>
        </w:rPr>
        <w:t>Environmental</w:t>
      </w:r>
      <w:r>
        <w:rPr>
          <w:spacing w:val="-12"/>
          <w:u w:val="none"/>
        </w:rPr>
        <w:t> </w:t>
      </w:r>
      <w:r>
        <w:rPr>
          <w:u w:val="none"/>
        </w:rPr>
        <w:t>exposure </w:t>
      </w:r>
      <w:r>
        <w:rPr>
          <w:spacing w:val="-2"/>
          <w:u w:val="none"/>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u w:val="none"/>
        </w:rPr>
      </w:pPr>
      <w:bookmarkStart w:name="Information on basic physical and chemic" w:id="41"/>
      <w:bookmarkEnd w:id="41"/>
      <w:r>
        <w:rPr>
          <w:b w:val="0"/>
          <w:u w:val="none"/>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z w:val="18"/>
        </w:rPr>
        <w:t>Pale</w:t>
      </w:r>
      <w:r>
        <w:rPr>
          <w:spacing w:val="-5"/>
          <w:sz w:val="18"/>
        </w:rPr>
        <w:t> </w:t>
      </w:r>
      <w:r>
        <w:rPr>
          <w:spacing w:val="-2"/>
          <w:sz w:val="18"/>
        </w:rPr>
        <w:t>purple</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Mild.</w:t>
      </w:r>
    </w:p>
    <w:p>
      <w:pPr>
        <w:tabs>
          <w:tab w:pos="3259" w:val="right" w:leader="none"/>
        </w:tabs>
        <w:spacing w:before="188"/>
        <w:ind w:left="374" w:right="0" w:firstLine="0"/>
        <w:jc w:val="left"/>
        <w:rPr>
          <w:sz w:val="18"/>
        </w:rPr>
      </w:pPr>
      <w:r>
        <w:rPr>
          <w:b/>
          <w:spacing w:val="-5"/>
          <w:sz w:val="18"/>
        </w:rPr>
        <w:t>pH</w:t>
      </w:r>
      <w:r>
        <w:rPr>
          <w:rFonts w:ascii="Times New Roman"/>
          <w:sz w:val="18"/>
        </w:rPr>
        <w:tab/>
      </w:r>
      <w:r>
        <w:rPr>
          <w:spacing w:val="-5"/>
          <w:sz w:val="18"/>
        </w:rPr>
        <w:t>8-</w:t>
      </w:r>
      <w:r>
        <w:rPr>
          <w:spacing w:val="-2"/>
          <w:sz w:val="18"/>
        </w:rPr>
        <w:t>10</w:t>
      </w:r>
    </w:p>
    <w:p>
      <w:pPr>
        <w:tabs>
          <w:tab w:pos="3249" w:val="right" w:leader="none"/>
        </w:tabs>
        <w:spacing w:before="189"/>
        <w:ind w:left="374" w:right="0" w:firstLine="0"/>
        <w:jc w:val="left"/>
        <w:rPr>
          <w:sz w:val="18"/>
        </w:rPr>
      </w:pPr>
      <w:r>
        <w:rPr>
          <w:sz w:val="18"/>
        </w:rPr>
        <mc:AlternateContent>
          <mc:Choice Requires="wps">
            <w:drawing>
              <wp:anchor distT="0" distB="0" distL="0" distR="0" allowOverlap="1" layoutInCell="1" locked="0" behindDoc="0" simplePos="0" relativeHeight="15734272">
                <wp:simplePos x="0" y="0"/>
                <wp:positionH relativeFrom="page">
                  <wp:posOffset>571500</wp:posOffset>
                </wp:positionH>
                <wp:positionV relativeFrom="paragraph">
                  <wp:posOffset>390462</wp:posOffset>
                </wp:positionV>
                <wp:extent cx="64135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45058pt;width:505pt;height:15pt;mso-position-horizontal-relative:page;mso-position-vertical-relative:paragraph;z-index:15734272" type="#_x0000_t202" id="docshape12"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Specific</w:t>
      </w:r>
      <w:r>
        <w:rPr>
          <w:b/>
          <w:spacing w:val="-6"/>
          <w:sz w:val="18"/>
        </w:rPr>
        <w:t> </w:t>
      </w:r>
      <w:r>
        <w:rPr>
          <w:b/>
          <w:spacing w:val="-2"/>
          <w:sz w:val="18"/>
        </w:rPr>
        <w:t>Gravity</w:t>
      </w:r>
      <w:r>
        <w:rPr>
          <w:rFonts w:ascii="Times New Roman"/>
          <w:sz w:val="18"/>
        </w:rPr>
        <w:tab/>
      </w:r>
      <w:r>
        <w:rPr>
          <w:spacing w:val="-4"/>
          <w:sz w:val="18"/>
        </w:rPr>
        <w:t>1.01</w:t>
      </w:r>
    </w:p>
    <w:p>
      <w:pPr>
        <w:pStyle w:val="BodyText"/>
        <w:tabs>
          <w:tab w:pos="2898" w:val="left" w:leader="none"/>
        </w:tabs>
        <w:spacing w:before="768"/>
        <w:ind w:left="374"/>
      </w:pPr>
      <w:bookmarkStart w:name="SECTION 10: Stability and reactivity" w:id="42"/>
      <w:bookmarkEnd w:id="42"/>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rPr>
          <w:u w:val="none"/>
        </w:rPr>
      </w:pPr>
      <w:r>
        <w:rPr>
          <w:u w:val="none"/>
        </w:rPr>
        <w:t>Possibility</w:t>
      </w:r>
      <w:r>
        <w:rPr>
          <w:spacing w:val="-12"/>
          <w:u w:val="none"/>
        </w:rPr>
        <w:t> </w:t>
      </w:r>
      <w:r>
        <w:rPr>
          <w:u w:val="none"/>
        </w:rPr>
        <w:t>of</w:t>
      </w:r>
      <w:r>
        <w:rPr>
          <w:spacing w:val="-12"/>
          <w:u w:val="none"/>
        </w:rPr>
        <w:t> </w:t>
      </w:r>
      <w:r>
        <w:rPr>
          <w:u w:val="none"/>
        </w:rPr>
        <w:t>hazardous </w:t>
      </w:r>
      <w:r>
        <w:rPr>
          <w:spacing w:val="-2"/>
          <w:u w:val="none"/>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before="259"/>
        <w:ind w:left="374"/>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tabs>
          <w:tab w:pos="2898" w:val="left" w:leader="none"/>
        </w:tabs>
        <w:spacing w:line="297" w:lineRule="auto" w:before="308"/>
        <w:ind w:left="2899"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rPr>
          <w:u w:val="none"/>
        </w:rPr>
      </w:pPr>
      <w:r>
        <w:rPr>
          <w:u w:val="none"/>
        </w:rPr>
        <w:t>Hazardous</w:t>
      </w:r>
      <w:r>
        <w:rPr>
          <w:spacing w:val="-12"/>
          <w:u w:val="none"/>
        </w:rPr>
        <w:t> </w:t>
      </w:r>
      <w:r>
        <w:rPr>
          <w:u w:val="none"/>
        </w:rPr>
        <w:t>decomposition </w:t>
      </w:r>
      <w:r>
        <w:rPr>
          <w:spacing w:val="-2"/>
          <w:u w:val="none"/>
        </w:rPr>
        <w:t>products</w:t>
      </w:r>
    </w:p>
    <w:p>
      <w:pPr>
        <w:pStyle w:val="BodyText"/>
        <w:spacing w:line="297" w:lineRule="auto" w:before="259"/>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rPr>
          <w:u w:val="none"/>
        </w:rPr>
      </w:pPr>
      <w:bookmarkStart w:name="Information on toxicological effects" w:id="45"/>
      <w:bookmarkEnd w:id="45"/>
      <w:r>
        <w:rPr>
          <w:b w:val="0"/>
          <w:u w:val="none"/>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tabs>
          <w:tab w:pos="2898" w:val="left" w:leader="none"/>
        </w:tabs>
        <w:spacing w:line="484" w:lineRule="auto" w:before="188"/>
        <w:ind w:left="374" w:right="6882" w:firstLine="0"/>
        <w:jc w:val="left"/>
        <w:rPr>
          <w:b/>
          <w:sz w:val="18"/>
        </w:rPr>
      </w:pPr>
      <w:r>
        <w:rPr>
          <w:b/>
          <w:sz w:val="18"/>
        </w:rPr>
        <w:t>ATE oral (mg/kg)</w:t>
        <w:tab/>
      </w:r>
      <w:r>
        <w:rPr>
          <w:spacing w:val="-2"/>
          <w:sz w:val="18"/>
        </w:rPr>
        <w:t>3,620.04 </w:t>
      </w:r>
      <w:r>
        <w:rPr>
          <w:b/>
          <w:sz w:val="18"/>
          <w:u w:val="single"/>
        </w:rPr>
        <w:t>Acute toxicity - dermal</w:t>
      </w:r>
    </w:p>
    <w:p>
      <w:pPr>
        <w:spacing w:after="0" w:line="484" w:lineRule="auto"/>
        <w:jc w:val="left"/>
        <w:rPr>
          <w:b/>
          <w:sz w:val="18"/>
        </w:rPr>
        <w:sectPr>
          <w:type w:val="continuous"/>
          <w:pgSz w:w="11900" w:h="16840"/>
          <w:pgMar w:header="458" w:footer="571" w:top="1020" w:bottom="760" w:left="566" w:right="850"/>
        </w:sectPr>
      </w:pPr>
    </w:p>
    <w:p>
      <w:pPr>
        <w:pStyle w:val="Heading1"/>
      </w:pPr>
      <w:r>
        <w:rPr>
          <w:spacing w:val="-2"/>
        </w:rPr>
        <w:t>Crackshot</w:t>
      </w:r>
    </w:p>
    <w:p>
      <w:pPr>
        <w:pStyle w:val="BodyText"/>
        <w:spacing w:before="244"/>
        <w:rPr>
          <w:b/>
          <w:sz w:val="24"/>
        </w:rPr>
      </w:pPr>
    </w:p>
    <w:p>
      <w:pPr>
        <w:tabs>
          <w:tab w:pos="2898" w:val="left" w:leader="none"/>
        </w:tabs>
        <w:spacing w:line="460" w:lineRule="auto" w:before="0"/>
        <w:ind w:left="374"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11,000.0</w:t>
      </w:r>
    </w:p>
    <w:p>
      <w:pPr>
        <w:pStyle w:val="Heading2"/>
        <w:spacing w:before="22"/>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line="460" w:lineRule="auto" w:before="88"/>
        <w:ind w:left="374" w:right="2694" w:firstLine="0"/>
        <w:jc w:val="left"/>
        <w:rPr>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inhalation (vapours mg/l)</w:t>
      </w:r>
      <w:r>
        <w:rPr>
          <w:b/>
          <w:spacing w:val="80"/>
          <w:sz w:val="18"/>
        </w:rPr>
        <w:t> </w:t>
      </w:r>
      <w:r>
        <w:rPr>
          <w:sz w:val="18"/>
        </w:rPr>
        <w:t>110.0</w:t>
      </w:r>
    </w:p>
    <w:p>
      <w:pPr>
        <w:pStyle w:val="Heading2"/>
        <w:spacing w:before="22"/>
        <w:rPr>
          <w:u w:val="none"/>
        </w:rPr>
      </w:pPr>
      <w:r>
        <w:rPr>
          <w:u w:val="single"/>
        </w:rPr>
        <w:t>Skin</w:t>
      </w:r>
      <w:r>
        <w:rPr>
          <w:spacing w:val="-6"/>
          <w:u w:val="single"/>
        </w:rPr>
        <w:t> </w:t>
      </w:r>
      <w:r>
        <w:rPr>
          <w:spacing w:val="-2"/>
          <w:u w:val="single"/>
        </w:rPr>
        <w:t>corrosion/irritation</w:t>
      </w:r>
    </w:p>
    <w:p>
      <w:pPr>
        <w:tabs>
          <w:tab w:pos="2898" w:val="left" w:leader="none"/>
        </w:tabs>
        <w:spacing w:before="88"/>
        <w:ind w:left="374" w:right="0" w:firstLine="0"/>
        <w:jc w:val="left"/>
        <w:rPr>
          <w:sz w:val="18"/>
        </w:rPr>
      </w:pPr>
      <w:r>
        <w:rPr>
          <w:b/>
          <w:sz w:val="18"/>
        </w:rPr>
        <w:t>Animal</w:t>
      </w:r>
      <w:r>
        <w:rPr>
          <w:b/>
          <w:spacing w:val="-10"/>
          <w:sz w:val="18"/>
        </w:rPr>
        <w:t> </w:t>
      </w:r>
      <w:r>
        <w:rPr>
          <w:b/>
          <w:spacing w:val="-4"/>
          <w:sz w:val="18"/>
        </w:rPr>
        <w:t>data</w:t>
      </w:r>
      <w:r>
        <w:rPr>
          <w:b/>
          <w:sz w:val="18"/>
        </w:rPr>
        <w:tab/>
      </w:r>
      <w:r>
        <w:rPr>
          <w:spacing w:val="-2"/>
          <w:sz w:val="18"/>
        </w:rPr>
        <w:t>Irritating.</w:t>
      </w:r>
    </w:p>
    <w:p>
      <w:pPr>
        <w:pStyle w:val="BodyText"/>
        <w:spacing w:before="4"/>
      </w:pPr>
    </w:p>
    <w:p>
      <w:pPr>
        <w:pStyle w:val="Heading2"/>
        <w:rPr>
          <w:u w:val="none"/>
        </w:rPr>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9"/>
        <w:ind w:left="374" w:right="0" w:firstLine="0"/>
        <w:jc w:val="left"/>
        <w:rPr>
          <w:sz w:val="18"/>
        </w:rPr>
      </w:pPr>
      <w:r>
        <w:rPr>
          <w:b/>
          <w:sz w:val="18"/>
        </w:rPr>
        <w:t>Serious</w:t>
      </w:r>
      <w:r>
        <w:rPr>
          <w:b/>
          <w:spacing w:val="-4"/>
          <w:sz w:val="18"/>
        </w:rPr>
        <w:t> </w:t>
      </w:r>
      <w:r>
        <w:rPr>
          <w:b/>
          <w:sz w:val="18"/>
        </w:rPr>
        <w:t>eye</w:t>
      </w:r>
      <w:r>
        <w:rPr>
          <w:b/>
          <w:spacing w:val="-3"/>
          <w:sz w:val="18"/>
        </w:rPr>
        <w:t> </w:t>
      </w:r>
      <w:r>
        <w:rPr>
          <w:b/>
          <w:sz w:val="18"/>
        </w:rPr>
        <w:t>damage/irritation</w:t>
      </w:r>
      <w:r>
        <w:rPr>
          <w:b/>
          <w:spacing w:val="36"/>
          <w:sz w:val="18"/>
        </w:rPr>
        <w:t>  </w:t>
      </w:r>
      <w:r>
        <w:rPr>
          <w:sz w:val="18"/>
        </w:rPr>
        <w:t>Eye</w:t>
      </w:r>
      <w:r>
        <w:rPr>
          <w:spacing w:val="-2"/>
          <w:sz w:val="18"/>
        </w:rPr>
        <w:t> </w:t>
      </w:r>
      <w:r>
        <w:rPr>
          <w:sz w:val="18"/>
        </w:rPr>
        <w:t>Dam.</w:t>
      </w:r>
      <w:r>
        <w:rPr>
          <w:spacing w:val="-3"/>
          <w:sz w:val="18"/>
        </w:rPr>
        <w:t> </w:t>
      </w:r>
      <w:r>
        <w:rPr>
          <w:sz w:val="18"/>
        </w:rPr>
        <w:t>1</w:t>
      </w:r>
      <w:r>
        <w:rPr>
          <w:spacing w:val="-2"/>
          <w:sz w:val="18"/>
        </w:rPr>
        <w:t> </w:t>
      </w:r>
      <w:r>
        <w:rPr>
          <w:sz w:val="18"/>
        </w:rPr>
        <w:t>-</w:t>
      </w:r>
      <w:r>
        <w:rPr>
          <w:spacing w:val="-2"/>
          <w:sz w:val="18"/>
        </w:rPr>
        <w:t> </w:t>
      </w:r>
      <w:r>
        <w:rPr>
          <w:sz w:val="18"/>
        </w:rPr>
        <w:t>H318</w:t>
      </w:r>
      <w:r>
        <w:rPr>
          <w:spacing w:val="-2"/>
          <w:sz w:val="18"/>
        </w:rPr>
        <w:t> </w:t>
      </w:r>
      <w:r>
        <w:rPr>
          <w:sz w:val="18"/>
        </w:rPr>
        <w:t>Causes</w:t>
      </w:r>
      <w:r>
        <w:rPr>
          <w:spacing w:val="-2"/>
          <w:sz w:val="18"/>
        </w:rPr>
        <w:t> </w:t>
      </w:r>
      <w:r>
        <w:rPr>
          <w:sz w:val="18"/>
        </w:rPr>
        <w:t>serious</w:t>
      </w:r>
      <w:r>
        <w:rPr>
          <w:spacing w:val="-2"/>
          <w:sz w:val="18"/>
        </w:rPr>
        <w:t> </w:t>
      </w:r>
      <w:r>
        <w:rPr>
          <w:sz w:val="18"/>
        </w:rPr>
        <w:t>eye</w:t>
      </w:r>
      <w:r>
        <w:rPr>
          <w:spacing w:val="-3"/>
          <w:sz w:val="18"/>
        </w:rPr>
        <w:t> </w:t>
      </w:r>
      <w:r>
        <w:rPr>
          <w:spacing w:val="-2"/>
          <w:sz w:val="18"/>
        </w:rPr>
        <w:t>damage.</w:t>
      </w:r>
    </w:p>
    <w:p>
      <w:pPr>
        <w:pStyle w:val="BodyText"/>
        <w:spacing w:before="4"/>
      </w:pPr>
    </w:p>
    <w:p>
      <w:pPr>
        <w:pStyle w:val="Heading2"/>
        <w:rPr>
          <w:u w:val="none"/>
        </w:rPr>
      </w:pPr>
      <w:r>
        <w:rPr>
          <w:u w:val="single"/>
        </w:rPr>
        <w:t>Respiratory</w:t>
      </w:r>
      <w:r>
        <w:rPr>
          <w:spacing w:val="-9"/>
          <w:u w:val="single"/>
        </w:rPr>
        <w:t> </w:t>
      </w:r>
      <w:r>
        <w:rPr>
          <w:spacing w:val="-2"/>
          <w:u w:val="single"/>
        </w:rPr>
        <w:t>sensitisation</w:t>
      </w:r>
    </w:p>
    <w:p>
      <w:pPr>
        <w:tabs>
          <w:tab w:pos="2898" w:val="left" w:leader="none"/>
        </w:tabs>
        <w:spacing w:before="89"/>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rPr>
          <w:u w:val="none"/>
        </w:rPr>
      </w:pPr>
      <w:r>
        <w:rPr>
          <w:u w:val="single"/>
        </w:rPr>
        <w:t>Skin</w:t>
      </w:r>
      <w:r>
        <w:rPr>
          <w:spacing w:val="-6"/>
          <w:u w:val="single"/>
        </w:rPr>
        <w:t> </w:t>
      </w:r>
      <w:r>
        <w:rPr>
          <w:spacing w:val="-2"/>
          <w:u w:val="single"/>
        </w:rPr>
        <w:t>sensitisation</w:t>
      </w:r>
    </w:p>
    <w:p>
      <w:pPr>
        <w:pStyle w:val="BodyText"/>
        <w:tabs>
          <w:tab w:pos="2898" w:val="left" w:leader="none"/>
        </w:tabs>
        <w:spacing w:before="88"/>
        <w:ind w:left="374"/>
      </w:pPr>
      <w:r>
        <w:rPr>
          <w:b/>
        </w:rPr>
        <w:t>Skin</w:t>
      </w:r>
      <w:r>
        <w:rPr>
          <w:b/>
          <w:spacing w:val="-6"/>
        </w:rPr>
        <w:t> </w:t>
      </w:r>
      <w:r>
        <w:rPr>
          <w:b/>
          <w:spacing w:val="-2"/>
        </w:rPr>
        <w:t>sensitisation</w:t>
      </w:r>
      <w:r>
        <w:rPr>
          <w:b/>
        </w:rPr>
        <w:tab/>
      </w:r>
      <w:r>
        <w:rPr/>
        <w:t>May</w:t>
      </w:r>
      <w:r>
        <w:rPr>
          <w:spacing w:val="-5"/>
        </w:rPr>
        <w:t> </w:t>
      </w:r>
      <w:r>
        <w:rPr/>
        <w:t>cause</w:t>
      </w:r>
      <w:r>
        <w:rPr>
          <w:spacing w:val="-5"/>
        </w:rPr>
        <w:t> </w:t>
      </w:r>
      <w:r>
        <w:rPr/>
        <w:t>skin</w:t>
      </w:r>
      <w:r>
        <w:rPr>
          <w:spacing w:val="-5"/>
        </w:rPr>
        <w:t> </w:t>
      </w:r>
      <w:r>
        <w:rPr/>
        <w:t>sensitisation</w:t>
      </w:r>
      <w:r>
        <w:rPr>
          <w:spacing w:val="-5"/>
        </w:rPr>
        <w:t> </w:t>
      </w:r>
      <w:r>
        <w:rPr/>
        <w:t>or</w:t>
      </w:r>
      <w:r>
        <w:rPr>
          <w:spacing w:val="-5"/>
        </w:rPr>
        <w:t> </w:t>
      </w:r>
      <w:r>
        <w:rPr/>
        <w:t>allergic</w:t>
      </w:r>
      <w:r>
        <w:rPr>
          <w:spacing w:val="-5"/>
        </w:rPr>
        <w:t> </w:t>
      </w:r>
      <w:r>
        <w:rPr/>
        <w:t>reactions</w:t>
      </w:r>
      <w:r>
        <w:rPr>
          <w:spacing w:val="-5"/>
        </w:rPr>
        <w:t> </w:t>
      </w:r>
      <w:r>
        <w:rPr/>
        <w:t>in</w:t>
      </w:r>
      <w:r>
        <w:rPr>
          <w:spacing w:val="-5"/>
        </w:rPr>
        <w:t> </w:t>
      </w:r>
      <w:r>
        <w:rPr/>
        <w:t>sensitive</w:t>
      </w:r>
      <w:r>
        <w:rPr>
          <w:spacing w:val="-5"/>
        </w:rPr>
        <w:t> </w:t>
      </w:r>
      <w:r>
        <w:rPr>
          <w:spacing w:val="-2"/>
        </w:rPr>
        <w:t>individuals.</w:t>
      </w:r>
    </w:p>
    <w:p>
      <w:pPr>
        <w:pStyle w:val="BodyText"/>
        <w:spacing w:before="5"/>
      </w:pPr>
    </w:p>
    <w:p>
      <w:pPr>
        <w:pStyle w:val="Heading2"/>
        <w:rPr>
          <w:u w:val="none"/>
        </w:rPr>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rPr>
          <w:u w:val="none"/>
        </w:rPr>
      </w:pPr>
      <w:r>
        <w:rPr>
          <w:spacing w:val="-2"/>
          <w:u w:val="single"/>
        </w:rPr>
        <w:t>Carcinogenicity</w:t>
      </w:r>
    </w:p>
    <w:p>
      <w:pPr>
        <w:tabs>
          <w:tab w:pos="2898" w:val="left" w:leader="none"/>
        </w:tabs>
        <w:spacing w:line="460" w:lineRule="auto" w:before="88"/>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rPr>
          <w:u w:val="none"/>
        </w:rPr>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rPr>
          <w:u w:val="none"/>
        </w:rPr>
      </w:pPr>
      <w:r>
        <w:rPr>
          <w:u w:val="none"/>
        </w:rPr>
        <w:t>Reproductive</w:t>
      </w:r>
      <w:r>
        <w:rPr>
          <w:spacing w:val="-12"/>
          <w:u w:val="none"/>
        </w:rPr>
        <w:t> </w:t>
      </w:r>
      <w:r>
        <w:rPr>
          <w:u w:val="none"/>
        </w:rPr>
        <w:t>toxicity</w:t>
      </w:r>
      <w:r>
        <w:rPr>
          <w:spacing w:val="-12"/>
          <w:u w:val="none"/>
        </w:rPr>
        <w:t> </w:t>
      </w:r>
      <w:r>
        <w:rPr>
          <w:u w:val="none"/>
        </w:rPr>
        <w:t>- </w:t>
      </w:r>
      <w:r>
        <w:rPr>
          <w:spacing w:val="-2"/>
          <w:u w:val="none"/>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rPr>
          <w:u w:val="none"/>
        </w:rPr>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rPr>
          <w:u w:val="none"/>
        </w:rPr>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rPr>
          <w:u w:val="none"/>
        </w:rPr>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2"/>
      </w:pPr>
    </w:p>
    <w:p>
      <w:pPr>
        <w:pStyle w:val="BodyText"/>
        <w:tabs>
          <w:tab w:pos="2898" w:val="left" w:leader="none"/>
        </w:tabs>
        <w:spacing w:line="297" w:lineRule="auto" w:before="1"/>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pStyle w:val="BodyText"/>
        <w:tabs>
          <w:tab w:pos="2898" w:val="left" w:leader="none"/>
        </w:tabs>
        <w:spacing w:before="189"/>
        <w:ind w:left="374"/>
      </w:pPr>
      <w:r>
        <w:rPr>
          <w:b/>
          <w:spacing w:val="-2"/>
        </w:rPr>
        <w:t>Ingestion</w:t>
      </w:r>
      <w:r>
        <w:rPr>
          <w:b/>
        </w:rPr>
        <w:tab/>
      </w:r>
      <w:r>
        <w:rPr/>
        <w:t>May</w:t>
      </w:r>
      <w:r>
        <w:rPr>
          <w:spacing w:val="-6"/>
        </w:rPr>
        <w:t> </w:t>
      </w:r>
      <w:r>
        <w:rPr/>
        <w:t>cause</w:t>
      </w:r>
      <w:r>
        <w:rPr>
          <w:spacing w:val="-5"/>
        </w:rPr>
        <w:t> </w:t>
      </w:r>
      <w:r>
        <w:rPr/>
        <w:t>sensitisation</w:t>
      </w:r>
      <w:r>
        <w:rPr>
          <w:spacing w:val="-5"/>
        </w:rPr>
        <w:t> </w:t>
      </w:r>
      <w:r>
        <w:rPr/>
        <w:t>or</w:t>
      </w:r>
      <w:r>
        <w:rPr>
          <w:spacing w:val="-6"/>
        </w:rPr>
        <w:t> </w:t>
      </w:r>
      <w:r>
        <w:rPr/>
        <w:t>allergic</w:t>
      </w:r>
      <w:r>
        <w:rPr>
          <w:spacing w:val="-5"/>
        </w:rPr>
        <w:t> </w:t>
      </w:r>
      <w:r>
        <w:rPr/>
        <w:t>reactions</w:t>
      </w:r>
      <w:r>
        <w:rPr>
          <w:spacing w:val="-5"/>
        </w:rPr>
        <w:t> </w:t>
      </w:r>
      <w:r>
        <w:rPr/>
        <w:t>in</w:t>
      </w:r>
      <w:r>
        <w:rPr>
          <w:spacing w:val="-6"/>
        </w:rPr>
        <w:t> </w:t>
      </w:r>
      <w:r>
        <w:rPr/>
        <w:t>sensitive</w:t>
      </w:r>
      <w:r>
        <w:rPr>
          <w:spacing w:val="-5"/>
        </w:rPr>
        <w:t> </w:t>
      </w:r>
      <w:r>
        <w:rPr/>
        <w:t>individuals.</w:t>
      </w:r>
      <w:r>
        <w:rPr>
          <w:spacing w:val="-6"/>
        </w:rPr>
        <w:t> </w:t>
      </w:r>
      <w:r>
        <w:rPr/>
        <w:t>May</w:t>
      </w:r>
      <w:r>
        <w:rPr>
          <w:spacing w:val="-6"/>
        </w:rPr>
        <w:t> </w:t>
      </w:r>
      <w:r>
        <w:rPr/>
        <w:t>cause</w:t>
      </w:r>
      <w:r>
        <w:rPr>
          <w:spacing w:val="-5"/>
        </w:rPr>
        <w:t> </w:t>
      </w:r>
      <w:r>
        <w:rPr>
          <w:spacing w:val="-2"/>
        </w:rPr>
        <w:t>irritation.</w:t>
      </w:r>
    </w:p>
    <w:p>
      <w:pPr>
        <w:pStyle w:val="BodyText"/>
        <w:tabs>
          <w:tab w:pos="2898" w:val="left" w:leader="none"/>
        </w:tabs>
        <w:spacing w:line="297" w:lineRule="auto" w:before="188"/>
        <w:ind w:left="2899" w:right="105" w:hanging="2525"/>
      </w:pPr>
      <w:r>
        <w:rPr>
          <w:b/>
        </w:rPr>
        <w:t>Skin Contact</w:t>
        <w:tab/>
      </w:r>
      <w:r>
        <w:rPr/>
        <w:t>May</w:t>
      </w:r>
      <w:r>
        <w:rPr>
          <w:spacing w:val="-3"/>
        </w:rPr>
        <w:t> </w:t>
      </w:r>
      <w:r>
        <w:rPr/>
        <w:t>cause</w:t>
      </w:r>
      <w:r>
        <w:rPr>
          <w:spacing w:val="-3"/>
        </w:rPr>
        <w:t> </w:t>
      </w:r>
      <w:r>
        <w:rPr/>
        <w:t>skin</w:t>
      </w:r>
      <w:r>
        <w:rPr>
          <w:spacing w:val="-3"/>
        </w:rPr>
        <w:t> </w:t>
      </w:r>
      <w:r>
        <w:rPr/>
        <w:t>sensitisation</w:t>
      </w:r>
      <w:r>
        <w:rPr>
          <w:spacing w:val="-3"/>
        </w:rPr>
        <w:t> </w:t>
      </w:r>
      <w:r>
        <w:rPr/>
        <w:t>or</w:t>
      </w:r>
      <w:r>
        <w:rPr>
          <w:spacing w:val="-3"/>
        </w:rPr>
        <w:t> </w:t>
      </w:r>
      <w:r>
        <w:rPr/>
        <w:t>allergic</w:t>
      </w:r>
      <w:r>
        <w:rPr>
          <w:spacing w:val="-3"/>
        </w:rPr>
        <w:t> </w:t>
      </w:r>
      <w:r>
        <w:rPr/>
        <w:t>reactions</w:t>
      </w:r>
      <w:r>
        <w:rPr>
          <w:spacing w:val="-3"/>
        </w:rPr>
        <w:t> </w:t>
      </w:r>
      <w:r>
        <w:rPr/>
        <w:t>in</w:t>
      </w:r>
      <w:r>
        <w:rPr>
          <w:spacing w:val="-3"/>
        </w:rPr>
        <w:t> </w:t>
      </w:r>
      <w:r>
        <w:rPr/>
        <w:t>sensitive</w:t>
      </w:r>
      <w:r>
        <w:rPr>
          <w:spacing w:val="-3"/>
        </w:rPr>
        <w:t> </w:t>
      </w:r>
      <w:r>
        <w:rPr/>
        <w:t>individuals.</w:t>
      </w:r>
      <w:r>
        <w:rPr>
          <w:spacing w:val="-4"/>
        </w:rPr>
        <w:t> </w:t>
      </w:r>
      <w:r>
        <w:rPr/>
        <w:t>Redness.</w:t>
      </w:r>
      <w:r>
        <w:rPr>
          <w:spacing w:val="-4"/>
        </w:rPr>
        <w:t> </w:t>
      </w:r>
      <w:r>
        <w:rPr/>
        <w:t>Irritating</w:t>
      </w:r>
      <w:r>
        <w:rPr>
          <w:spacing w:val="-3"/>
        </w:rPr>
        <w:t> </w:t>
      </w:r>
      <w:r>
        <w:rPr/>
        <w:t>to </w:t>
      </w:r>
      <w:r>
        <w:rPr>
          <w:spacing w:val="-2"/>
        </w:rPr>
        <w:t>skin.</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8"/>
        <w:ind w:left="374" w:right="4093" w:firstLine="0"/>
        <w:jc w:val="left"/>
        <w:rPr>
          <w:sz w:val="18"/>
        </w:rPr>
      </w:pP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spacing w:after="0" w:line="460" w:lineRule="auto"/>
        <w:jc w:val="left"/>
        <w:rPr>
          <w:sz w:val="18"/>
        </w:rPr>
        <w:sectPr>
          <w:type w:val="continuous"/>
          <w:pgSz w:w="11900" w:h="16840"/>
          <w:pgMar w:header="458" w:footer="571" w:top="1020" w:bottom="760" w:left="566" w:right="850"/>
        </w:sectPr>
      </w:pPr>
    </w:p>
    <w:p>
      <w:pPr>
        <w:pStyle w:val="Heading1"/>
      </w:pPr>
      <w:bookmarkStart w:name="Special precautions for user" w:id="46"/>
      <w:bookmarkEnd w:id="46"/>
      <w:r>
        <w:rPr>
          <w:b w:val="0"/>
        </w:rPr>
      </w:r>
      <w:r>
        <w:rPr>
          <w:spacing w:val="-2"/>
        </w:rPr>
        <w:t>Crackshot</w:t>
      </w:r>
    </w:p>
    <w:p>
      <w:pPr>
        <w:pStyle w:val="BodyText"/>
        <w:spacing w:before="244"/>
        <w:rPr>
          <w:b/>
          <w:sz w:val="24"/>
        </w:rPr>
      </w:pPr>
    </w:p>
    <w:p>
      <w:pPr>
        <w:tabs>
          <w:tab w:pos="2898" w:val="left" w:leader="none"/>
        </w:tabs>
        <w:spacing w:before="0"/>
        <w:ind w:left="374" w:right="0" w:firstLine="0"/>
        <w:jc w:val="left"/>
        <w:rPr>
          <w:sz w:val="18"/>
        </w:rPr>
      </w:pPr>
      <w:r>
        <w:rPr>
          <w:b/>
          <w:sz w:val="18"/>
        </w:rPr>
        <w:t>Medical</w:t>
      </w:r>
      <w:r>
        <w:rPr>
          <w:b/>
          <w:spacing w:val="-12"/>
          <w:sz w:val="18"/>
        </w:rPr>
        <w:t> </w:t>
      </w:r>
      <w:r>
        <w:rPr>
          <w:b/>
          <w:spacing w:val="-2"/>
          <w:sz w:val="18"/>
        </w:rPr>
        <w:t>considerations</w:t>
      </w:r>
      <w:r>
        <w:rPr>
          <w:b/>
          <w:sz w:val="18"/>
        </w:rPr>
        <w:tab/>
      </w:r>
      <w:r>
        <w:rPr>
          <w:sz w:val="18"/>
        </w:rPr>
        <w:t>Skin</w:t>
      </w:r>
      <w:r>
        <w:rPr>
          <w:spacing w:val="-4"/>
          <w:sz w:val="18"/>
        </w:rPr>
        <w:t> </w:t>
      </w:r>
      <w:r>
        <w:rPr>
          <w:sz w:val="18"/>
        </w:rPr>
        <w:t>disorders</w:t>
      </w:r>
      <w:r>
        <w:rPr>
          <w:spacing w:val="-3"/>
          <w:sz w:val="18"/>
        </w:rPr>
        <w:t> </w:t>
      </w:r>
      <w:r>
        <w:rPr>
          <w:sz w:val="18"/>
        </w:rPr>
        <w:t>and</w:t>
      </w:r>
      <w:r>
        <w:rPr>
          <w:spacing w:val="-3"/>
          <w:sz w:val="18"/>
        </w:rPr>
        <w:t> </w:t>
      </w:r>
      <w:r>
        <w:rPr>
          <w:spacing w:val="-2"/>
          <w:sz w:val="18"/>
        </w:rPr>
        <w:t>allergies.</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103194</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25586pt;width:505pt;height:15pt;mso-position-horizontal-relative:page;mso-position-vertical-relative:paragraph;z-index:-15722496;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86"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9"/>
      <w:bookmarkEnd w:id="49"/>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rPr>
          <w:u w:val="none"/>
        </w:rPr>
      </w:pPr>
      <w:bookmarkStart w:name="Bioaccumulative potential" w:id="50"/>
      <w:bookmarkEnd w:id="50"/>
      <w:r>
        <w:rPr>
          <w:b w:val="0"/>
          <w:u w:val="none"/>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rPr>
          <w:u w:val="none"/>
        </w:rPr>
      </w:pPr>
      <w:bookmarkStart w:name="Mobility in soil" w:id="51"/>
      <w:bookmarkEnd w:id="51"/>
      <w:r>
        <w:rPr>
          <w:b w:val="0"/>
          <w:u w:val="none"/>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rPr>
          <w:u w:val="none"/>
        </w:rPr>
      </w:pPr>
      <w:bookmarkStart w:name="Other adverse effects" w:id="52"/>
      <w:bookmarkEnd w:id="52"/>
      <w:r>
        <w:rPr>
          <w:b w:val="0"/>
          <w:u w:val="none"/>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103322</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1984;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rPr>
          <w:u w:val="none"/>
        </w:rPr>
      </w:pPr>
      <w:bookmarkStart w:name="Waste treatment methods" w:id="55"/>
      <w:bookmarkEnd w:id="55"/>
      <w:r>
        <w:rPr>
          <w:b w:val="0"/>
          <w:u w:val="none"/>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71127</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21472;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8"/>
      <w:bookmarkEnd w:id="58"/>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9"/>
      <w:bookmarkEnd w:id="59"/>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rPr>
          <w:u w:val="none"/>
        </w:rPr>
      </w:pPr>
      <w:bookmarkStart w:name="Transport hazard class(es)" w:id="60"/>
      <w:bookmarkEnd w:id="60"/>
      <w:r>
        <w:rPr>
          <w:b w:val="0"/>
          <w:u w:val="none"/>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1"/>
      <w:bookmarkEnd w:id="61"/>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spacing w:before="59"/>
        <w:ind w:left="374" w:right="0" w:firstLine="0"/>
        <w:jc w:val="left"/>
        <w:rPr>
          <w:b/>
          <w:sz w:val="18"/>
        </w:rPr>
      </w:pPr>
      <w:bookmarkStart w:name="Environmental hazards" w:id="62"/>
      <w:bookmarkEnd w:id="62"/>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after="0" w:line="307" w:lineRule="auto"/>
        <w:jc w:val="left"/>
        <w:rPr>
          <w:sz w:val="18"/>
        </w:rPr>
        <w:sectPr>
          <w:pgSz w:w="11900" w:h="16840"/>
          <w:pgMar w:header="458" w:footer="571" w:top="1020" w:bottom="760" w:left="566" w:right="850"/>
        </w:sectPr>
      </w:pPr>
    </w:p>
    <w:p>
      <w:pPr>
        <w:pStyle w:val="Heading1"/>
      </w:pPr>
      <w:r>
        <w:rPr>
          <w:spacing w:val="-2"/>
        </w:rPr>
        <w:t>Crackshot</w:t>
      </w:r>
    </w:p>
    <w:p>
      <w:pPr>
        <w:pStyle w:val="BodyText"/>
        <w:rPr>
          <w:b/>
        </w:rPr>
      </w:pPr>
    </w:p>
    <w:p>
      <w:pPr>
        <w:pStyle w:val="BodyText"/>
        <w:spacing w:before="68"/>
        <w:rPr>
          <w:b/>
        </w:rPr>
      </w:pPr>
    </w:p>
    <w:p>
      <w:pPr>
        <w:spacing w:line="415" w:lineRule="auto" w:before="0"/>
        <w:ind w:left="374" w:right="7807" w:firstLine="0"/>
        <w:jc w:val="left"/>
        <w:rPr>
          <w:sz w:val="18"/>
        </w:rPr>
      </w:pP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rPr>
          <w:u w:val="none"/>
        </w:rPr>
      </w:pPr>
      <w:r>
        <w:rPr>
          <w:u w:val="none"/>
        </w:rPr>
        <w:t>Transport</w:t>
      </w:r>
      <w:r>
        <w:rPr>
          <w:spacing w:val="-10"/>
          <w:u w:val="none"/>
        </w:rPr>
        <w:t> </w:t>
      </w:r>
      <w:r>
        <w:rPr>
          <w:u w:val="none"/>
        </w:rPr>
        <w:t>in</w:t>
      </w:r>
      <w:r>
        <w:rPr>
          <w:spacing w:val="-10"/>
          <w:u w:val="none"/>
        </w:rPr>
        <w:t> </w:t>
      </w:r>
      <w:r>
        <w:rPr>
          <w:u w:val="none"/>
        </w:rPr>
        <w:t>bulk</w:t>
      </w:r>
      <w:r>
        <w:rPr>
          <w:spacing w:val="-10"/>
          <w:u w:val="none"/>
        </w:rPr>
        <w:t> </w:t>
      </w:r>
      <w:r>
        <w:rPr>
          <w:u w:val="none"/>
        </w:rPr>
        <w:t>according</w:t>
      </w:r>
      <w:r>
        <w:rPr>
          <w:spacing w:val="-10"/>
          <w:u w:val="none"/>
        </w:rPr>
        <w:t> </w:t>
      </w:r>
      <w:r>
        <w:rPr>
          <w:u w:val="none"/>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7"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rPr>
          <w:u w:val="none"/>
        </w:rPr>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44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444500</wp:posOffset>
                </wp:positionH>
                <wp:positionV relativeFrom="paragraph">
                  <wp:posOffset>77812</wp:posOffset>
                </wp:positionV>
                <wp:extent cx="6350" cy="4597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344" id="docshape19"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898" w:val="left" w:leader="none"/>
        </w:tabs>
        <w:spacing w:before="189"/>
        <w:rPr>
          <w:b w:val="0"/>
          <w:u w:val="none"/>
        </w:rPr>
      </w:pPr>
      <w:r>
        <w:rPr>
          <w:spacing w:val="-2"/>
          <w:u w:val="none"/>
        </w:rPr>
        <w:t>Revision</w:t>
      </w:r>
      <w:r>
        <w:rPr>
          <w:rFonts w:ascii="Times New Roman"/>
          <w:b w:val="0"/>
          <w:u w:val="none"/>
        </w:rPr>
        <w:tab/>
      </w:r>
      <w:r>
        <w:rPr>
          <w:b w:val="0"/>
          <w:spacing w:val="-10"/>
          <w:u w:val="none"/>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13/05/2021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4715</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8"/>
      </w:pPr>
    </w:p>
    <w:p>
      <w:pPr>
        <w:pStyle w:val="BodyText"/>
        <w:spacing w:line="211" w:lineRule="auto"/>
        <w:ind w:left="374" w:right="105"/>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292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2355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39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2508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190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2457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2416">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13/05/2021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2406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13/05/2021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3" w:right="1"/>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2026-02-11T04:55:23Z</dcterms:created>
  <dcterms:modified xsi:type="dcterms:W3CDTF">2026-02-11T04:55:23Z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